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附件1</w:t>
      </w:r>
    </w:p>
    <w:p>
      <w:pPr>
        <w:spacing w:line="560" w:lineRule="exact"/>
        <w:ind w:left="62"/>
        <w:jc w:val="center"/>
        <w:rPr>
          <w:rFonts w:ascii="仿宋_GB2312" w:hAnsi="仿宋_GB2312" w:eastAsia="仿宋_GB2312" w:cs="仿宋_GB2312"/>
          <w:b/>
          <w:color w:val="000000" w:themeColor="text1"/>
          <w:spacing w:val="-2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pacing w:val="-20"/>
          <w:sz w:val="44"/>
          <w:szCs w:val="44"/>
          <w14:textFill>
            <w14:solidFill>
              <w14:schemeClr w14:val="tx1"/>
            </w14:solidFill>
          </w14:textFill>
        </w:rPr>
        <w:t>2021粤港澳大湾区青少年无人机科创嘉年华</w:t>
      </w:r>
      <w:r>
        <w:rPr>
          <w:rFonts w:ascii="方正小标宋简体" w:hAnsi="方正小标宋简体" w:eastAsia="方正小标宋简体" w:cs="方正小标宋简体"/>
          <w:bCs/>
          <w:color w:val="000000" w:themeColor="text1"/>
          <w:sz w:val="44"/>
          <w:szCs w:val="44"/>
          <w14:textFill>
            <w14:solidFill>
              <w14:schemeClr w14:val="tx1"/>
            </w14:solidFill>
          </w14:textFill>
        </w:rPr>
        <w:t>活动总决赛规则</w:t>
      </w:r>
    </w:p>
    <w:p>
      <w:pPr>
        <w:spacing w:line="560" w:lineRule="exact"/>
        <w:ind w:right="3140" w:firstLine="643"/>
        <w:rPr>
          <w:rFonts w:ascii="黑体" w:hAnsi="黑体" w:eastAsia="黑体" w:cs="黑体"/>
          <w:color w:val="000000" w:themeColor="text1"/>
          <w:sz w:val="32"/>
          <w:szCs w:val="32"/>
          <w:shd w:val="clear" w:color="000000" w:fill="auto"/>
          <w14:textFill>
            <w14:solidFill>
              <w14:schemeClr w14:val="tx1"/>
            </w14:solidFill>
          </w14:textFill>
        </w:rPr>
      </w:pPr>
      <w:r>
        <w:rPr>
          <w:rFonts w:hint="eastAsia" w:ascii="黑体" w:hAnsi="黑体" w:eastAsia="黑体" w:cs="黑体"/>
          <w:color w:val="000000" w:themeColor="text1"/>
          <w:sz w:val="32"/>
          <w:szCs w:val="32"/>
          <w:shd w:val="clear" w:color="000000" w:fill="auto"/>
          <w14:textFill>
            <w14:solidFill>
              <w14:schemeClr w14:val="tx1"/>
            </w14:solidFill>
          </w14:textFill>
        </w:rPr>
        <w:t>一、无人机短片拍摄比赛</w:t>
      </w:r>
    </w:p>
    <w:p>
      <w:pPr>
        <w:spacing w:line="560" w:lineRule="exact"/>
        <w:ind w:right="3140"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（一）竞赛主题</w:t>
      </w:r>
    </w:p>
    <w:p>
      <w:pPr>
        <w:pStyle w:val="25"/>
        <w:spacing w:line="560" w:lineRule="exact"/>
        <w:ind w:firstLine="640" w:firstLineChars="2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以“变迁”为主题，由各参赛小组以无人机航拍为主要拍摄手段，拍摄并制作不超过 3 分钟的视频短片，从多类影像角度讲</w:t>
      </w:r>
      <w:r>
        <w:rPr>
          <w:rFonts w:ascii="仿宋_GB2312" w:hAnsi="仿宋_GB2312" w:eastAsia="仿宋_GB2312" w:cs="仿宋_GB2312"/>
          <w:sz w:val="32"/>
          <w:szCs w:val="32"/>
        </w:rPr>
        <w:t>述一个发生在身边的真实故事</w:t>
      </w:r>
      <w:r>
        <w:rPr>
          <w:rFonts w:hint="eastAsia" w:ascii="仿宋_GB2312" w:hAnsi="仿宋_GB2312" w:eastAsia="仿宋_GB2312" w:cs="仿宋_GB2312"/>
          <w:sz w:val="32"/>
          <w:szCs w:val="32"/>
          <w:shd w:val="clear" w:color="000000" w:fill="auto"/>
        </w:rPr>
        <w:t>。</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（二）作品要求</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1．短片拍摄镜头必须是使用无人机拍摄并提供型号数据；</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2．所有拍摄镜头不涉及国家机密、要害部门及航空禁飞区，拍摄内容不涉及宗教极端主义和暴力恐怖主义片等。片长不超过 3 分钟，无人机航拍片段需占不少于作品片长的一半时间；</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3．短片格式必须为 wmv，mp4，avi，mov 或 mpeg ，画面须以 16:9 屏幕格式显示；</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4．短片可包含文字、图像、真人演出或多媒体创作；</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5．短片须附有标题(不多于20字)及简介(不多于100 字)，并填写在报名表格上；</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6.曾经发表或者参赛过作品不得参加本次竞赛，一经发现将取消获奖资格；</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7.航拍作品必须遵守国家无人机飞行管理条例，参赛短片须为原创作品，任何侵犯版权或涉嫌侵犯版权的短片概不接受；任何由参赛作品所引发的，涉及到版权或其他法律问题的纠纷与责任，主办机构概不负责；</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8.不论获奖与否，所有参赛作品概不退还，且主办机构具有参赛作品的免费使用权（版权归参赛作者所有）。</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9.主办机构保留对本次比赛规则的最终解释权及裁判权。</w:t>
      </w:r>
    </w:p>
    <w:p>
      <w:pPr>
        <w:spacing w:line="560" w:lineRule="exact"/>
        <w:ind w:firstLine="643"/>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（三）评分标准</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1.内容 (突出主题)  40%</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2.拍摄手法 15%</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3.操控技巧 15%</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4.后期剪接10%</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5.配乐/配音10%</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6.现场讲解10%</w:t>
      </w:r>
    </w:p>
    <w:p>
      <w:pPr>
        <w:spacing w:line="560" w:lineRule="exact"/>
        <w:ind w:firstLine="643"/>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（四）参赛办法</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入围队伍必须出席2021年8月24日-26日总决赛，并现场以简报形式报告/介绍短片内容，时限为3分钟。</w:t>
      </w:r>
    </w:p>
    <w:p>
      <w:pPr>
        <w:spacing w:line="560" w:lineRule="exact"/>
        <w:ind w:firstLine="643"/>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（五）奖项设置</w:t>
      </w:r>
    </w:p>
    <w:p>
      <w:pPr>
        <w:spacing w:line="360" w:lineRule="auto"/>
        <w:ind w:firstLine="643"/>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初中组、高中组按成绩先后顺序评定等级奖项一等奖10%、二等奖20%，三等奖30%，其余为优胜奖。其中前三名颁发冠、亚、季军奖杯、奖牌及奖品，另外评选出最佳创意设计奖、最佳技术应用奖、最佳配音（配乐）奖各1个，颁发奖牌及奖品。</w:t>
      </w:r>
    </w:p>
    <w:p>
      <w:pPr>
        <w:spacing w:line="560" w:lineRule="exact"/>
        <w:ind w:firstLine="640"/>
        <w:rPr>
          <w:rFonts w:ascii="黑体" w:hAnsi="黑体" w:eastAsia="黑体" w:cs="黑体"/>
          <w:color w:val="000000" w:themeColor="text1"/>
          <w:sz w:val="32"/>
          <w:szCs w:val="32"/>
          <w:shd w:val="clear" w:color="000000" w:fill="auto"/>
          <w14:textFill>
            <w14:solidFill>
              <w14:schemeClr w14:val="tx1"/>
            </w14:solidFill>
          </w14:textFill>
        </w:rPr>
      </w:pPr>
      <w:r>
        <w:rPr>
          <w:rFonts w:hint="eastAsia" w:ascii="黑体" w:hAnsi="黑体" w:eastAsia="黑体" w:cs="黑体"/>
          <w:color w:val="000000" w:themeColor="text1"/>
          <w:sz w:val="32"/>
          <w:szCs w:val="32"/>
          <w:shd w:val="clear" w:color="000000" w:fill="auto"/>
          <w14:textFill>
            <w14:solidFill>
              <w14:schemeClr w14:val="tx1"/>
            </w14:solidFill>
          </w14:textFill>
        </w:rPr>
        <w:t>二、无人机任务挑战（A、B）赛</w:t>
      </w:r>
    </w:p>
    <w:p>
      <w:pPr>
        <w:spacing w:line="560" w:lineRule="exact"/>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楷体" w:hAnsi="楷体" w:eastAsia="楷体" w:cs="仿宋_GB2312"/>
          <w:color w:val="000000" w:themeColor="text1"/>
          <w:sz w:val="32"/>
          <w:szCs w:val="32"/>
          <w:shd w:val="clear" w:color="000000" w:fill="auto"/>
          <w14:textFill>
            <w14:solidFill>
              <w14:schemeClr w14:val="tx1"/>
            </w14:solidFill>
          </w14:textFill>
        </w:rPr>
        <w:t xml:space="preserve">   </w:t>
      </w: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（一）器材要求</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1．无人机轴距离小于等于250mm。</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2．无人机空载起飞重量小于等于800克。</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3．桨叶直径小于等于6英寸。</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4．电池总电压最大为12.6V，最大动力小于等于3S锂电池，电压不得超过13.1V。</w:t>
      </w:r>
    </w:p>
    <w:p>
      <w:pPr>
        <w:spacing w:line="560" w:lineRule="exact"/>
        <w:ind w:left="950" w:leftChars="300" w:hanging="320" w:hangingChars="1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 xml:space="preserve">5．无人机须装有图传装置（含摄像头和图传模块）。   </w:t>
      </w:r>
    </w:p>
    <w:p>
      <w:pPr>
        <w:spacing w:line="560" w:lineRule="exact"/>
        <w:ind w:left="950" w:leftChars="300" w:hanging="320" w:hangingChars="1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6.载重盒要求不限，载重物为直径15mm玻璃珠子6gX6个。</w:t>
      </w:r>
    </w:p>
    <w:p>
      <w:pPr>
        <w:spacing w:line="560" w:lineRule="exact"/>
        <w:ind w:firstLine="640" w:firstLineChars="2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（二）场地要求</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无人机比赛分为A, B赛，A为FPV竞速赛，B为目视飞行竞速赛。所有两项竞赛均不能跟随飞行。</w:t>
      </w:r>
    </w:p>
    <w:p>
      <w:pPr>
        <w:spacing w:line="560" w:lineRule="exact"/>
        <w:ind w:firstLine="640" w:firstLineChars="2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1．A项赛事</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 xml:space="preserve">场地为30米*50米环形，以9+2大湾区城市地图分布设计。11个穿越障碍，其中：4个边长为2米的正六边形拱门；4个直径为1.2米、高度分别为2米或者3米的圆环；3面高度为4米的刀旗，降落区为1.5*1.5米的正方形。 </w:t>
      </w:r>
    </w:p>
    <w:p>
      <w:pPr>
        <w:spacing w:line="560" w:lineRule="exact"/>
        <w:ind w:firstLine="640" w:firstLineChars="2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2．B项赛事</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场地为20米*30米的环形。7个穿越障碍，其中2个边长为2米的正六边形拱门；3个直径为1.2米高度分别为2米或者3米的圆环；2面高度为4米的刀旗。</w:t>
      </w:r>
    </w:p>
    <w:p>
      <w:pP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 xml:space="preserve"> </w:t>
      </w:r>
    </w:p>
    <w:p>
      <w:pPr>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drawing>
          <wp:inline distT="0" distB="0" distL="114300" distR="114300">
            <wp:extent cx="5541645" cy="3359150"/>
            <wp:effectExtent l="0" t="0" r="1905" b="12700"/>
            <wp:docPr id="3" name="图片 3" descr="555719109e41deb03b1344f2e94b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5719109e41deb03b1344f2e94b56a"/>
                    <pic:cNvPicPr>
                      <a:picLocks noChangeAspect="1"/>
                    </pic:cNvPicPr>
                  </pic:nvPicPr>
                  <pic:blipFill>
                    <a:blip r:embed="rId4" cstate="print"/>
                    <a:stretch>
                      <a:fillRect/>
                    </a:stretch>
                  </pic:blipFill>
                  <pic:spPr>
                    <a:xfrm>
                      <a:off x="0" y="0"/>
                      <a:ext cx="5541645" cy="3359150"/>
                    </a:xfrm>
                    <a:prstGeom prst="rect">
                      <a:avLst/>
                    </a:prstGeom>
                  </pic:spPr>
                </pic:pic>
              </a:graphicData>
            </a:graphic>
          </wp:inline>
        </w:drawing>
      </w: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图1：A项赛事场地图</w:t>
      </w:r>
    </w:p>
    <w:p>
      <w:pPr>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p>
    <w:p>
      <w:pP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drawing>
          <wp:inline distT="0" distB="0" distL="114300" distR="114300">
            <wp:extent cx="5543550" cy="3702050"/>
            <wp:effectExtent l="0" t="0" r="0" b="12700"/>
            <wp:docPr id="12" name="图片 12" descr="161709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7097356(1)"/>
                    <pic:cNvPicPr>
                      <a:picLocks noChangeAspect="1"/>
                    </pic:cNvPicPr>
                  </pic:nvPicPr>
                  <pic:blipFill>
                    <a:blip r:embed="rId5" cstate="print"/>
                    <a:stretch>
                      <a:fillRect/>
                    </a:stretch>
                  </pic:blipFill>
                  <pic:spPr>
                    <a:xfrm>
                      <a:off x="0" y="0"/>
                      <a:ext cx="5543550" cy="3702050"/>
                    </a:xfrm>
                    <a:prstGeom prst="rect">
                      <a:avLst/>
                    </a:prstGeom>
                  </pic:spPr>
                </pic:pic>
              </a:graphicData>
            </a:graphic>
          </wp:inline>
        </w:drawing>
      </w:r>
    </w:p>
    <w:p>
      <w:pPr>
        <w:spacing w:line="560" w:lineRule="exact"/>
        <w:ind w:firstLine="60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 xml:space="preserve">             图2：B项赛事场地地图</w:t>
      </w:r>
    </w:p>
    <w:p>
      <w:pPr>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br w:type="page"/>
      </w:r>
    </w:p>
    <w:p>
      <w:pPr>
        <w:pStyle w:val="42"/>
        <w:spacing w:line="560" w:lineRule="exact"/>
        <w:ind w:left="786" w:firstLine="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（三）竞赛内容</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1．以小组（参赛队伍）为单位参赛，完成A和B项目需用同一型号飞机，在不同场地完成。</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2．参赛队伍需于报到审核器材时提交无人机改装设计报告。</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3．A和B项同时设有起飞点和终点降落点。比赛计时从起点开始，穿越所有障碍物，穿过终点停止计时，成绩以停表时间为准；完成飞行过程不超过3分钟。</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4．A项操控选手需用第一视角显示屏或眼镜，无人机装上空盒的载重盒装置。B项操控选手不得进入场內，在指定区域目视操控无人机，无人机装上载重盒及6个6g的玻璃珠进行飞行。</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（四）成绩评定</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1．得分计算</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（1）A项赛事任务</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无人机改装设计报告3分、载重盒3分、起飞5分、穿环8分、穿越拱门8分、刀旗5分、落点10分。</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（2）B项赛事任务</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无人机改装设计报告5分，起飞5分、穿环10分、穿越拱门10分、刀旗10分、载重盒4分、载重玻璃珠6分（每脱落一个玻璃珠扣一分、载重盒脱落整体扣10分），落点10分（降落在中心圈内，得10分、降落在降落区外圈内6分、降落在降落区外，不得分）。</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2．竞赛成绩</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（1）成绩排序：成绩以分数高的为胜，同等分数以时间短的为胜。</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2）成绩统计：A、B项比赛各两轮，两轮比赛需不同选手操控无人机进行完成比赛。比赛成绩以一轮最好成绩计算该队最终成绩，首先以完成任务的分数计算，分数高者列前，分数相同，以时间短者列前。A、B项比赛成绩分别记录成绩。A、B项比赛的综合团体奖的评定，以A、B项的各自最好成绩取得名次相加，排名靠前的名次数列前，名次相同的队，以单项比赛最好成绩靠前的队为先排列名次。</w:t>
      </w:r>
    </w:p>
    <w:p>
      <w:pPr>
        <w:spacing w:line="560" w:lineRule="exact"/>
        <w:ind w:firstLine="643"/>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（3）执法说明：</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①A、B项在比赛中，3分钟内没有完成整个比赛任务的，按照实际完成任务的分数计算成绩，时间为180秒（比赛同一时间计算换算成秒，保留到后两位）；</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②A、B项在飞机飞行过程中触地的，在可以自行起飞飞行的，可以继续飞行，完成剩余的比赛。如果不能自行起飞的，本轮比赛结束，成绩按照实际完成任务数量计算，时间从起飞到选手放弃自行起飞所用时间；</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③比赛按照赛道的顺序一次性完成飞行，遗落的、没有完成的项目，不能补飞完成。</w:t>
      </w:r>
    </w:p>
    <w:p>
      <w:pPr>
        <w:spacing w:line="560" w:lineRule="exact"/>
        <w:ind w:firstLine="640"/>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④比赛时，参赛队友可以一同进入赛场协助，但是只能飞手一人操控无人机。</w:t>
      </w:r>
    </w:p>
    <w:p>
      <w:pPr>
        <w:spacing w:line="360" w:lineRule="auto"/>
        <w:ind w:firstLine="643"/>
        <w:rPr>
          <w:rFonts w:ascii="仿宋" w:hAnsi="仿宋" w:eastAsia="仿宋"/>
          <w:bCs/>
          <w:color w:val="000000" w:themeColor="text1"/>
          <w:sz w:val="32"/>
          <w:szCs w:val="32"/>
          <w:shd w:val="clear" w:color="000000" w:fill="auto"/>
          <w14:textFill>
            <w14:solidFill>
              <w14:schemeClr w14:val="tx1"/>
            </w14:solidFill>
          </w14:textFill>
        </w:rPr>
      </w:pPr>
      <w:r>
        <w:rPr>
          <w:rFonts w:ascii="仿宋" w:hAnsi="仿宋" w:eastAsia="仿宋"/>
          <w:bCs/>
          <w:color w:val="000000" w:themeColor="text1"/>
          <w:sz w:val="32"/>
          <w:szCs w:val="32"/>
          <w:shd w:val="clear" w:color="000000" w:fill="auto"/>
          <w14:textFill>
            <w14:solidFill>
              <w14:schemeClr w14:val="tx1"/>
            </w14:solidFill>
          </w14:textFill>
        </w:rPr>
        <w:t>（4）奖项设置</w:t>
      </w:r>
    </w:p>
    <w:p>
      <w:pPr>
        <w:spacing w:line="360" w:lineRule="auto"/>
        <w:ind w:firstLine="640"/>
        <w:rPr>
          <w:rFonts w:ascii="仿宋" w:hAnsi="仿宋" w:eastAsia="仿宋"/>
          <w:color w:val="000000" w:themeColor="text1"/>
          <w:sz w:val="32"/>
          <w:szCs w:val="32"/>
          <w:shd w:val="clear" w:color="000000" w:fill="auto"/>
          <w14:textFill>
            <w14:solidFill>
              <w14:schemeClr w14:val="tx1"/>
            </w14:solidFill>
          </w14:textFill>
        </w:rPr>
      </w:pPr>
      <w:r>
        <w:rPr>
          <w:rFonts w:ascii="仿宋" w:hAnsi="仿宋" w:eastAsia="仿宋"/>
          <w:color w:val="000000" w:themeColor="text1"/>
          <w:sz w:val="32"/>
          <w:szCs w:val="32"/>
          <w:shd w:val="clear" w:color="000000" w:fill="auto"/>
          <w14:textFill>
            <w14:solidFill>
              <w14:schemeClr w14:val="tx1"/>
            </w14:solidFill>
          </w14:textFill>
        </w:rPr>
        <w:t>比赛分A</w:t>
      </w:r>
      <w:r>
        <w:rPr>
          <w:rFonts w:hint="eastAsia" w:ascii="仿宋" w:hAnsi="仿宋" w:eastAsia="仿宋"/>
          <w:color w:val="000000" w:themeColor="text1"/>
          <w:sz w:val="32"/>
          <w:szCs w:val="32"/>
          <w:shd w:val="clear" w:color="000000" w:fill="auto"/>
          <w14:textFill>
            <w14:solidFill>
              <w14:schemeClr w14:val="tx1"/>
            </w14:solidFill>
          </w14:textFill>
        </w:rPr>
        <w:t>项</w:t>
      </w:r>
      <w:r>
        <w:rPr>
          <w:rFonts w:ascii="仿宋" w:hAnsi="仿宋" w:eastAsia="仿宋"/>
          <w:color w:val="000000" w:themeColor="text1"/>
          <w:sz w:val="32"/>
          <w:szCs w:val="32"/>
          <w:shd w:val="clear" w:color="000000" w:fill="auto"/>
          <w14:textFill>
            <w14:solidFill>
              <w14:schemeClr w14:val="tx1"/>
            </w14:solidFill>
          </w14:textFill>
        </w:rPr>
        <w:t>、B项及AB综合团体</w:t>
      </w:r>
      <w:r>
        <w:rPr>
          <w:rFonts w:hint="eastAsia" w:ascii="仿宋" w:hAnsi="仿宋" w:eastAsia="仿宋"/>
          <w:color w:val="000000" w:themeColor="text1"/>
          <w:sz w:val="32"/>
          <w:szCs w:val="32"/>
          <w:shd w:val="clear" w:color="000000" w:fill="auto"/>
          <w14:textFill>
            <w14:solidFill>
              <w14:schemeClr w14:val="tx1"/>
            </w14:solidFill>
          </w14:textFill>
        </w:rPr>
        <w:t>分别</w:t>
      </w:r>
      <w:r>
        <w:rPr>
          <w:rFonts w:ascii="仿宋" w:hAnsi="仿宋" w:eastAsia="仿宋"/>
          <w:color w:val="000000" w:themeColor="text1"/>
          <w:sz w:val="32"/>
          <w:szCs w:val="32"/>
          <w:shd w:val="clear" w:color="000000" w:fill="auto"/>
          <w14:textFill>
            <w14:solidFill>
              <w14:schemeClr w14:val="tx1"/>
            </w14:solidFill>
          </w14:textFill>
        </w:rPr>
        <w:t>颁奖</w:t>
      </w:r>
      <w:r>
        <w:rPr>
          <w:rFonts w:hint="eastAsia" w:ascii="仿宋" w:hAnsi="仿宋" w:eastAsia="仿宋"/>
          <w:color w:val="000000" w:themeColor="text1"/>
          <w:sz w:val="32"/>
          <w:szCs w:val="32"/>
          <w:shd w:val="clear" w:color="000000" w:fill="auto"/>
          <w14:textFill>
            <w14:solidFill>
              <w14:schemeClr w14:val="tx1"/>
            </w14:solidFill>
          </w14:textFill>
        </w:rPr>
        <w:t>，再</w:t>
      </w:r>
      <w:r>
        <w:rPr>
          <w:rFonts w:hint="eastAsia" w:ascii="仿宋_GB2312" w:hAnsi="仿宋_GB2312" w:eastAsia="仿宋_GB2312" w:cs="仿宋_GB2312"/>
          <w:color w:val="000000" w:themeColor="text1"/>
          <w:sz w:val="32"/>
          <w:szCs w:val="32"/>
          <w14:textFill>
            <w14:solidFill>
              <w14:schemeClr w14:val="tx1"/>
            </w14:solidFill>
          </w14:textFill>
        </w:rPr>
        <w:t>按成绩先后顺序评定等级奖项一等奖10%、二等奖20%，三等奖30%，其余为优胜奖。其中前三名颁发冠、亚、季军奖杯、奖牌及奖品。</w:t>
      </w:r>
    </w:p>
    <w:p>
      <w:pPr>
        <w:ind w:firstLine="640" w:firstLineChars="200"/>
        <w:rPr>
          <w:rFonts w:ascii="黑体" w:hAnsi="宋体" w:eastAsia="黑体" w:cs="黑体"/>
          <w:b/>
          <w:color w:val="000000"/>
          <w:sz w:val="32"/>
          <w:szCs w:val="32"/>
        </w:rPr>
      </w:pPr>
      <w:r>
        <w:rPr>
          <w:rFonts w:hint="eastAsia" w:ascii="黑体" w:hAnsi="黑体" w:eastAsia="黑体" w:cs="黑体"/>
          <w:color w:val="000000" w:themeColor="text1"/>
          <w:sz w:val="32"/>
          <w:szCs w:val="32"/>
          <w:shd w:val="clear" w:color="000000" w:fill="auto"/>
          <w14:textFill>
            <w14:solidFill>
              <w14:schemeClr w14:val="tx1"/>
            </w14:solidFill>
          </w14:textFill>
        </w:rPr>
        <w:t>三、</w:t>
      </w:r>
      <w:r>
        <w:rPr>
          <w:rFonts w:hint="eastAsia" w:ascii="黑体" w:hAnsi="宋体" w:eastAsia="黑体" w:cs="黑体"/>
          <w:b/>
          <w:color w:val="000000"/>
          <w:sz w:val="32"/>
          <w:szCs w:val="32"/>
        </w:rPr>
        <w:t>“百年征程”无人机编队创意编程竞赛</w:t>
      </w:r>
    </w:p>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1.参赛器材</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编程语言：图形化编程</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无人机灯光：灯光可编程</w:t>
      </w:r>
    </w:p>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2.赛事规则</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（1）比赛为创意编程赛，在完成规定造型编程动作的基础上，选手可自由发挥，再根据造型编排不同的灯光和动作，同时可搭配音乐，使得整个飞行过程更加紧凑流畅；</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（2）参赛队伍根据自已的创意舞步，给其作品主题命名，并自行准备所用的背景音乐，音乐格式为（mp3或wav），要求主题健康向上、鲜明；</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（3）各参赛队伍需在正式比赛前确定参赛曲目，剪辑好音乐；通过编程软件完成成好舞步程序；</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各参赛队伍在正式比赛前需向赛事组提供最终确定好的“.SB3”格式的舞步程序文件，舞步程序文件与作品主题名称一致，同时背景音乐也使用相同名字，作品名称后面备注参赛者姓名。将两个参赛文件统一压缩打包，示例如下：</w:t>
      </w:r>
    </w:p>
    <w:p>
      <w:pPr>
        <w:widowControl w:val="0"/>
        <w:autoSpaceDE w:val="0"/>
        <w:autoSpaceDN w:val="0"/>
        <w:spacing w:line="560" w:lineRule="exact"/>
        <w:ind w:firstLine="440" w:firstLineChars="200"/>
        <w:rPr>
          <w:rFonts w:ascii="仿宋_GB2312" w:hAnsi="仿宋_GB2312" w:eastAsia="仿宋_GB2312" w:cs="仿宋_GB2312"/>
          <w:sz w:val="32"/>
          <w:szCs w:val="32"/>
        </w:rPr>
      </w:pPr>
      <w:r>
        <w:rPr>
          <w:rFonts w:ascii="仿宋" w:hAnsi="仿宋" w:eastAsia="仿宋" w:cs="仿宋"/>
          <w:sz w:val="22"/>
          <w:szCs w:val="22"/>
        </w:rPr>
        <mc:AlternateContent>
          <mc:Choice Requires="wps">
            <w:drawing>
              <wp:anchor distT="0" distB="0" distL="114300" distR="114300" simplePos="0" relativeHeight="251659264" behindDoc="0" locked="0" layoutInCell="1" allowOverlap="1">
                <wp:simplePos x="0" y="0"/>
                <wp:positionH relativeFrom="column">
                  <wp:posOffset>32385</wp:posOffset>
                </wp:positionH>
                <wp:positionV relativeFrom="paragraph">
                  <wp:posOffset>46355</wp:posOffset>
                </wp:positionV>
                <wp:extent cx="5362575" cy="1342390"/>
                <wp:effectExtent l="0" t="0" r="9525" b="0"/>
                <wp:wrapNone/>
                <wp:docPr id="6" name="文本框 11"/>
                <wp:cNvGraphicFramePr/>
                <a:graphic xmlns:a="http://schemas.openxmlformats.org/drawingml/2006/main">
                  <a:graphicData uri="http://schemas.microsoft.com/office/word/2010/wordprocessingShape">
                    <wps:wsp>
                      <wps:cNvSpPr txBox="1"/>
                      <wps:spPr>
                        <a:xfrm>
                          <a:off x="0" y="0"/>
                          <a:ext cx="5362575" cy="1342390"/>
                        </a:xfrm>
                        <a:prstGeom prst="rect">
                          <a:avLst/>
                        </a:prstGeom>
                        <a:solidFill>
                          <a:srgbClr val="FFFFFF"/>
                        </a:solidFill>
                        <a:ln w="6350">
                          <a:noFill/>
                        </a:ln>
                      </wps:spPr>
                      <wps:txbx>
                        <w:txbxContent>
                          <w:p>
                            <w:pPr>
                              <w:widowControl w:val="0"/>
                              <w:autoSpaceDE w:val="0"/>
                              <w:autoSpaceDN w:val="0"/>
                              <w:jc w:val="left"/>
                            </w:pPr>
                            <w:r>
                              <w:rPr>
                                <w:rFonts w:hint="eastAsia" w:ascii="仿宋_GB2312" w:hAnsi="仿宋_GB2312" w:eastAsia="仿宋_GB2312" w:cs="仿宋_GB2312"/>
                                <w:sz w:val="32"/>
                                <w:szCs w:val="32"/>
                              </w:rPr>
                              <w:drawing>
                                <wp:inline distT="0" distB="0" distL="114300" distR="114300">
                                  <wp:extent cx="3790950" cy="127635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6" cstate="print"/>
                                          <a:stretch>
                                            <a:fillRect/>
                                          </a:stretch>
                                        </pic:blipFill>
                                        <pic:spPr>
                                          <a:xfrm>
                                            <a:off x="0" y="0"/>
                                            <a:ext cx="3790950" cy="127635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1332865" cy="1260475"/>
                                  <wp:effectExtent l="0" t="0" r="635" b="158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cstate="print"/>
                                          <a:stretch>
                                            <a:fillRect/>
                                          </a:stretch>
                                        </pic:blipFill>
                                        <pic:spPr>
                                          <a:xfrm>
                                            <a:off x="0" y="0"/>
                                            <a:ext cx="1332865" cy="1260475"/>
                                          </a:xfrm>
                                          <a:prstGeom prst="rect">
                                            <a:avLst/>
                                          </a:prstGeom>
                                          <a:noFill/>
                                          <a:ln>
                                            <a:noFill/>
                                          </a:ln>
                                        </pic:spPr>
                                      </pic:pic>
                                    </a:graphicData>
                                  </a:graphic>
                                </wp:inline>
                              </w:drawing>
                            </w:r>
                          </w:p>
                        </w:txbxContent>
                      </wps:txbx>
                      <wps:bodyPr wrap="square" upright="1"/>
                    </wps:wsp>
                  </a:graphicData>
                </a:graphic>
              </wp:anchor>
            </w:drawing>
          </mc:Choice>
          <mc:Fallback>
            <w:pict>
              <v:shape id="文本框 11" o:spid="_x0000_s1026" o:spt="202" type="#_x0000_t202" style="position:absolute;left:0pt;margin-left:2.55pt;margin-top:3.65pt;height:105.7pt;width:422.25pt;z-index:251659264;mso-width-relative:page;mso-height-relative:page;" fillcolor="#FFFFFF" filled="t" stroked="f" coordsize="21600,21600" o:gfxdata="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mfexW0wAAAAcBAAAPAAAAAAAAAAEAIAAAACIA&#10;AABkcnMvZG93bnJldi54bWxQSwECFAAUAAAACACHTuJAF7BEK9UBAACQAwAADgAAAAAAAAABACAA&#10;AAAiAQAAZHJzL2Uyb0RvYy54bWxQSwUGAAAAAAYABgBZAQAAaQUAAAAA&#10;">
                <v:fill on="t" focussize="0,0"/>
                <v:stroke on="f" weight="0.5pt"/>
                <v:imagedata o:title=""/>
                <o:lock v:ext="edit" aspectratio="f"/>
                <v:textbox>
                  <w:txbxContent>
                    <w:p>
                      <w:pPr>
                        <w:widowControl w:val="0"/>
                        <w:autoSpaceDE w:val="0"/>
                        <w:autoSpaceDN w:val="0"/>
                        <w:jc w:val="left"/>
                      </w:pPr>
                      <w:r>
                        <w:rPr>
                          <w:rFonts w:hint="eastAsia" w:ascii="仿宋_GB2312" w:hAnsi="仿宋_GB2312" w:eastAsia="仿宋_GB2312" w:cs="仿宋_GB2312"/>
                          <w:sz w:val="32"/>
                          <w:szCs w:val="32"/>
                        </w:rPr>
                        <w:drawing>
                          <wp:inline distT="0" distB="0" distL="114300" distR="114300">
                            <wp:extent cx="3790950" cy="127635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6" cstate="print"/>
                                    <a:stretch>
                                      <a:fillRect/>
                                    </a:stretch>
                                  </pic:blipFill>
                                  <pic:spPr>
                                    <a:xfrm>
                                      <a:off x="0" y="0"/>
                                      <a:ext cx="3790950" cy="127635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1332865" cy="1260475"/>
                            <wp:effectExtent l="0" t="0" r="635" b="158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cstate="print"/>
                                    <a:stretch>
                                      <a:fillRect/>
                                    </a:stretch>
                                  </pic:blipFill>
                                  <pic:spPr>
                                    <a:xfrm>
                                      <a:off x="0" y="0"/>
                                      <a:ext cx="1332865" cy="1260475"/>
                                    </a:xfrm>
                                    <a:prstGeom prst="rect">
                                      <a:avLst/>
                                    </a:prstGeom>
                                    <a:noFill/>
                                    <a:ln>
                                      <a:noFill/>
                                    </a:ln>
                                  </pic:spPr>
                                </pic:pic>
                              </a:graphicData>
                            </a:graphic>
                          </wp:inline>
                        </w:drawing>
                      </w:r>
                    </w:p>
                  </w:txbxContent>
                </v:textbox>
              </v:shape>
            </w:pict>
          </mc:Fallback>
        </mc:AlternateContent>
      </w:r>
    </w:p>
    <w:p>
      <w:pPr>
        <w:widowControl w:val="0"/>
        <w:autoSpaceDE w:val="0"/>
        <w:autoSpaceDN w:val="0"/>
        <w:spacing w:line="20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047750" cy="99060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cstate="print"/>
                    <a:stretch>
                      <a:fillRect/>
                    </a:stretch>
                  </pic:blipFill>
                  <pic:spPr>
                    <a:xfrm>
                      <a:off x="0" y="0"/>
                      <a:ext cx="1047750" cy="990600"/>
                    </a:xfrm>
                    <a:prstGeom prst="rect">
                      <a:avLst/>
                    </a:prstGeom>
                    <a:noFill/>
                    <a:ln>
                      <a:noFill/>
                    </a:ln>
                  </pic:spPr>
                </pic:pic>
              </a:graphicData>
            </a:graphic>
          </wp:inline>
        </w:drawing>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程序设计要求：飞机表演飞行高度必需在≥1米，≤5米，飞机间距不得小于50cm，飞行范围不得超过基站范围（10米x8米），飞机Z轴尽量不得悬停同轴重叠，运动过程重叠时间要求不得超过3秒。组委会技术裁判会进行技术初审，只有通过技术裁判初审通过方能执行实际飞行的比赛；</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vAlign w:val="center"/>
          </w:tcPr>
          <w:p>
            <w:pPr>
              <w:widowControl w:val="0"/>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266825" cy="1659255"/>
                  <wp:effectExtent l="0" t="0" r="952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1266825" cy="1659255"/>
                          </a:xfrm>
                          <a:prstGeom prst="rect">
                            <a:avLst/>
                          </a:prstGeom>
                          <a:noFill/>
                          <a:ln>
                            <a:noFill/>
                          </a:ln>
                        </pic:spPr>
                      </pic:pic>
                    </a:graphicData>
                  </a:graphic>
                </wp:inline>
              </w:drawing>
            </w:r>
          </w:p>
        </w:tc>
        <w:tc>
          <w:tcPr>
            <w:tcW w:w="4261" w:type="dxa"/>
            <w:shd w:val="clear" w:color="auto" w:fill="auto"/>
            <w:vAlign w:val="center"/>
          </w:tcPr>
          <w:p>
            <w:pPr>
              <w:widowControl w:val="0"/>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71625" cy="1466850"/>
                  <wp:effectExtent l="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cstate="print"/>
                          <a:stretch>
                            <a:fillRect/>
                          </a:stretch>
                        </pic:blipFill>
                        <pic:spPr>
                          <a:xfrm>
                            <a:off x="0" y="0"/>
                            <a:ext cx="1571625" cy="1466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vAlign w:val="center"/>
          </w:tcPr>
          <w:p>
            <w:pPr>
              <w:widowControl w:val="0"/>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90675" cy="1419225"/>
                  <wp:effectExtent l="0" t="0" r="9525" b="952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cstate="print"/>
                          <a:stretch>
                            <a:fillRect/>
                          </a:stretch>
                        </pic:blipFill>
                        <pic:spPr>
                          <a:xfrm>
                            <a:off x="0" y="0"/>
                            <a:ext cx="1590675" cy="1419225"/>
                          </a:xfrm>
                          <a:prstGeom prst="rect">
                            <a:avLst/>
                          </a:prstGeom>
                          <a:noFill/>
                          <a:ln>
                            <a:noFill/>
                          </a:ln>
                        </pic:spPr>
                      </pic:pic>
                    </a:graphicData>
                  </a:graphic>
                </wp:inline>
              </w:drawing>
            </w:r>
          </w:p>
        </w:tc>
        <w:tc>
          <w:tcPr>
            <w:tcW w:w="4261" w:type="dxa"/>
            <w:shd w:val="clear" w:color="auto" w:fill="auto"/>
            <w:vAlign w:val="center"/>
          </w:tcPr>
          <w:p>
            <w:pPr>
              <w:widowControl w:val="0"/>
              <w:autoSpaceDE w:val="0"/>
              <w:autoSpaceDN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343025" cy="1913255"/>
                  <wp:effectExtent l="0" t="0" r="9525"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cstate="print"/>
                          <a:stretch>
                            <a:fillRect/>
                          </a:stretch>
                        </pic:blipFill>
                        <pic:spPr>
                          <a:xfrm>
                            <a:off x="0" y="0"/>
                            <a:ext cx="1343025" cy="1913255"/>
                          </a:xfrm>
                          <a:prstGeom prst="rect">
                            <a:avLst/>
                          </a:prstGeom>
                          <a:noFill/>
                          <a:ln>
                            <a:noFill/>
                          </a:ln>
                        </pic:spPr>
                      </pic:pic>
                    </a:graphicData>
                  </a:graphic>
                </wp:inline>
              </w:drawing>
            </w:r>
          </w:p>
        </w:tc>
      </w:tr>
    </w:tbl>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（6）创意编程无人机数量：五架（赛事筹备组提供飞机和电池及备机）</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赛事规定飞行中必需出现以下三个造型（“一”字形、“十”字形、五边形），各参赛队伍在程序中必须得展现出来，这个是最低标准，各参赛队伍在此基础上可添加其他的造型和动作的配合设计，使固定造型能与自行设计的造型或动作进行连惯。</w:t>
      </w:r>
    </w:p>
    <w:p>
      <w:pPr>
        <w:widowControl w:val="0"/>
        <w:autoSpaceDE w:val="0"/>
        <w:autoSpaceDN w:val="0"/>
        <w:spacing w:line="2200" w:lineRule="exact"/>
        <w:jc w:val="center"/>
        <w:rPr>
          <w:rFonts w:ascii="仿宋_GB2312" w:hAnsi="仿宋_GB2312" w:eastAsia="仿宋_GB2312" w:cs="仿宋_GB2312"/>
          <w:sz w:val="32"/>
          <w:szCs w:val="32"/>
        </w:rPr>
      </w:pPr>
      <w:r>
        <w:rPr>
          <w:rFonts w:hint="eastAsia" w:ascii="仿宋" w:hAnsi="仿宋" w:eastAsia="仿宋" w:cs="仿宋"/>
          <w:sz w:val="22"/>
          <w:szCs w:val="22"/>
        </w:rPr>
        <w:drawing>
          <wp:inline distT="0" distB="0" distL="114300" distR="114300">
            <wp:extent cx="4991100" cy="962025"/>
            <wp:effectExtent l="0" t="0" r="0"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2" cstate="print"/>
                    <a:srcRect b="22572"/>
                    <a:stretch>
                      <a:fillRect/>
                    </a:stretch>
                  </pic:blipFill>
                  <pic:spPr>
                    <a:xfrm>
                      <a:off x="0" y="0"/>
                      <a:ext cx="4991100" cy="962025"/>
                    </a:xfrm>
                    <a:prstGeom prst="rect">
                      <a:avLst/>
                    </a:prstGeom>
                    <a:noFill/>
                    <a:ln>
                      <a:noFill/>
                    </a:ln>
                  </pic:spPr>
                </pic:pic>
              </a:graphicData>
            </a:graphic>
          </wp:inline>
        </w:drawing>
      </w:r>
    </w:p>
    <w:p>
      <w:pPr>
        <w:widowControl w:val="0"/>
        <w:autoSpaceDE w:val="0"/>
        <w:autoSpaceDN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主视图</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举例说明：</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【“一”字形】</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飞机起飞后需要呈现“一”字形，然后根据“一”字形做动作，比如做“S形”或者“波浪”、“旋转”、“整体移动”、“流水灯”等各种动作或图案。</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飞机在空中组成“一”字造型组成其他新造型或动作，或者从其他造型或动作转变成“一”字造型，但前提需要前后动作协调保证观赏的流畅性。</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造型并不是指特定的摆拍，也可以是有节奏有规律的动作，比如两架飞机在跳交谊舞，也可以纳入造型计数中。但需要参赛选手比赛前讲解飞机会做几种造型或动作。</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评分细则（共100分）</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552"/>
        <w:gridCol w:w="1240"/>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3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内容</w:t>
            </w: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3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得分点</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3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分值</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3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计分说明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基础分</w:t>
            </w: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ind w:firstLine="640" w:firstLineChars="200"/>
              <w:rPr>
                <w:rFonts w:ascii="仿宋_GB2312" w:hAnsi="仿宋_GB2312" w:eastAsia="仿宋_GB2312" w:cs="仿宋_GB2312"/>
                <w:sz w:val="32"/>
                <w:szCs w:val="32"/>
              </w:rPr>
            </w:pPr>
          </w:p>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摆出一字型</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造型稳定3秒，出现不整齐，每架无人机扣2分，超过3架以上不得分。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ind w:firstLine="640" w:firstLineChars="200"/>
              <w:rPr>
                <w:rFonts w:ascii="仿宋_GB2312" w:hAnsi="仿宋_GB2312" w:eastAsia="仿宋_GB2312" w:cs="仿宋_GB2312"/>
                <w:sz w:val="32"/>
                <w:szCs w:val="32"/>
              </w:rPr>
            </w:pP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ind w:firstLine="640" w:firstLineChars="200"/>
              <w:rPr>
                <w:rFonts w:ascii="仿宋_GB2312" w:hAnsi="仿宋_GB2312" w:eastAsia="仿宋_GB2312" w:cs="仿宋_GB2312"/>
                <w:sz w:val="32"/>
                <w:szCs w:val="32"/>
              </w:rPr>
            </w:pPr>
          </w:p>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摆出十字形</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造型稳定3秒，出现不整齐，每架无人机扣2分，超过3架以上不得分。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仿宋_GB2312" w:eastAsia="仿宋_GB2312" w:cs="仿宋_GB2312"/>
                <w:sz w:val="28"/>
                <w:szCs w:val="28"/>
              </w:rPr>
            </w:pP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ind w:firstLine="640" w:firstLineChars="200"/>
              <w:rPr>
                <w:rFonts w:ascii="仿宋_GB2312" w:hAnsi="仿宋_GB2312" w:eastAsia="仿宋_GB2312" w:cs="仿宋_GB2312"/>
                <w:sz w:val="32"/>
                <w:szCs w:val="32"/>
              </w:rPr>
            </w:pPr>
          </w:p>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摆出五边形</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20分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造型稳定3秒，出现不整齐，每架无人机扣2分，超过3架以上不得分。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附加分</w:t>
            </w: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一字型波浪，跑马灯</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各5分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出现失误，每架无人机扣1分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ind w:firstLine="640" w:firstLineChars="200"/>
              <w:rPr>
                <w:rFonts w:ascii="仿宋_GB2312" w:hAnsi="仿宋_GB2312" w:eastAsia="仿宋_GB2312" w:cs="仿宋_GB2312"/>
                <w:sz w:val="32"/>
                <w:szCs w:val="32"/>
              </w:rPr>
            </w:pP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十字形横向旋转，纵向旋转</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各5分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出现失误，每架无人机扣1分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ind w:firstLine="640" w:firstLineChars="200"/>
              <w:rPr>
                <w:rFonts w:ascii="仿宋_GB2312" w:hAnsi="仿宋_GB2312" w:eastAsia="仿宋_GB2312" w:cs="仿宋_GB2312"/>
                <w:sz w:val="32"/>
                <w:szCs w:val="32"/>
              </w:rPr>
            </w:pP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五边形变倒梯形，正梯形，倒五边形</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出现失误，每架无人机扣1分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主观分</w:t>
            </w: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图案规范整齐</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优9-10良7-8中5-6差0-4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仿宋_GB2312" w:eastAsia="仿宋_GB2312" w:cs="仿宋_GB2312"/>
                <w:sz w:val="28"/>
                <w:szCs w:val="28"/>
              </w:rPr>
            </w:pPr>
          </w:p>
        </w:tc>
        <w:tc>
          <w:tcPr>
            <w:tcW w:w="1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音乐灯光与造型搭配</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10分</w:t>
            </w:r>
          </w:p>
        </w:tc>
        <w:tc>
          <w:tcPr>
            <w:tcW w:w="2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优9-10良7-8中5-6差0-4</w:t>
            </w:r>
          </w:p>
        </w:tc>
      </w:tr>
    </w:tbl>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3.赛事说明</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（1）比赛场地为同一场地，参赛队伍按照抽签决定比赛顺序.</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（2）比赛场地最大范围长10m、宽8m、高5m，请在此范围内设计舞步程序。</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比赛所用无人机和电池由参赛队伍自带，比赛编程结束后请交到场地器材审核裁判员处进行保管。比赛准备阶段到保管处领取参加比赛。比赛期间除参赛选手外，任何人不得在场地附近试飞无人机，违反者将取消本队成绩。</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（4）正式比赛前各参赛队伍有一次赛场试飞机会，每队时间为3分钟；</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正式比赛时，参赛队伍有3分钟准备时间，在准备时间内，由其中一名队员向裁判和技术裁判介绍表演的内容，包括音乐选择的原因，基本动作介绍，造型介绍，特色介绍等,其他队员配置无人机，放置在各自的起飞点。准备完成后，得到裁判示意，即可开始表演，准备时间不得超过3分钟。正式比赛时间为4分钟，时间到立即结束比赛，没有完成比赛的，按完成的任务分记录成绩。</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（6）比赛当天，由大赛组委会将所有参赛队伍的文件拷贝至比赛专用电脑中，参赛队伍进行比赛时从此电脑中选取自己队伍的文件,不得使用自带工程文件,音乐曲目或电脑等设备,一经确认,将直接取消比赛资格。</w:t>
      </w:r>
    </w:p>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4.注意事项</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（1）无人机在飞行过程中，参赛选手不得进入飞行区域，</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（2）比赛队伍准备期间，只有参赛队员可以进入准备区域，带队老师不得进入准备区域或与选手交流， </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（3）在比赛过程中，由于有音乐播放，其他参赛队伍禁止喧哗与打闹， </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（4）违反以上事项的参数队伍，第一次警告，第二次取消比赛成绩。</w:t>
      </w:r>
    </w:p>
    <w:p>
      <w:pPr>
        <w:pStyle w:val="25"/>
        <w:widowControl w:val="0"/>
        <w:autoSpaceDE w:val="0"/>
        <w:autoSpaceDN w:val="0"/>
        <w:spacing w:line="560" w:lineRule="exact"/>
        <w:ind w:firstLine="643" w:firstLineChars="200"/>
        <w:jc w:val="left"/>
        <w:rPr>
          <w:rFonts w:ascii="黑体" w:hAnsi="黑体" w:eastAsia="黑体" w:cs="黑体"/>
          <w:b/>
          <w:bCs/>
          <w:sz w:val="32"/>
          <w:szCs w:val="32"/>
        </w:rPr>
      </w:pPr>
      <w:r>
        <w:rPr>
          <w:rFonts w:hint="eastAsia" w:ascii="黑体" w:hAnsi="黑体" w:eastAsia="黑体" w:cs="黑体"/>
          <w:b/>
          <w:bCs/>
          <w:sz w:val="32"/>
          <w:szCs w:val="32"/>
        </w:rPr>
        <w:t>四、无人机空中足球竞技赛</w:t>
      </w:r>
    </w:p>
    <w:p>
      <w:pPr>
        <w:widowControl w:val="0"/>
        <w:autoSpaceDE w:val="0"/>
        <w:autoSpaceDN w:val="0"/>
        <w:ind w:firstLine="643" w:firstLineChars="200"/>
        <w:jc w:val="left"/>
        <w:rPr>
          <w:b/>
          <w:color w:val="000000"/>
          <w:sz w:val="32"/>
          <w:szCs w:val="32"/>
        </w:rPr>
      </w:pPr>
      <w:r>
        <w:rPr>
          <w:rFonts w:hint="eastAsia" w:ascii="仿宋" w:hAnsi="仿宋" w:eastAsia="仿宋" w:cs="仿宋"/>
          <w:b/>
          <w:color w:val="000000"/>
          <w:sz w:val="32"/>
          <w:szCs w:val="32"/>
        </w:rPr>
        <w:t>1.比赛场地</w:t>
      </w:r>
    </w:p>
    <w:p>
      <w:pPr>
        <w:widowControl w:val="0"/>
        <w:autoSpaceDE w:val="0"/>
        <w:autoSpaceDN w:val="0"/>
        <w:ind w:firstLine="641"/>
        <w:jc w:val="left"/>
        <w:rPr>
          <w:rFonts w:ascii="仿宋" w:hAnsi="仿宋" w:eastAsia="仿宋" w:cs="仿宋"/>
          <w:sz w:val="22"/>
          <w:szCs w:val="22"/>
        </w:rPr>
      </w:pPr>
      <w:r>
        <w:rPr>
          <w:rFonts w:hint="eastAsia" w:ascii="仿宋_GB2312" w:hAnsi="仿宋_GB2312" w:eastAsia="仿宋_GB2312" w:cs="仿宋_GB2312"/>
          <w:sz w:val="32"/>
          <w:szCs w:val="32"/>
        </w:rPr>
        <w:t>场地如图所示：长为10米*4米，高度3米的框架结构围网场地；场地中设置一条中心线，两边分别标记无人机的起降区； 球门形状为圆形，内径为50厘米, 外径为70 厘米，球门底边距离地面高度为1.5米。</w:t>
      </w:r>
      <w:r>
        <w:rPr>
          <w:rFonts w:hint="eastAsia" w:ascii="仿宋" w:hAnsi="仿宋" w:eastAsia="仿宋" w:cs="仿宋"/>
          <w:sz w:val="22"/>
          <w:szCs w:val="22"/>
        </w:rPr>
        <w:t xml:space="preserve">                   </w:t>
      </w:r>
    </w:p>
    <w:p>
      <w:pPr>
        <w:widowControl w:val="0"/>
        <w:autoSpaceDE w:val="0"/>
        <w:autoSpaceDN w:val="0"/>
        <w:rPr>
          <w:rFonts w:hint="eastAsia" w:ascii="仿宋" w:hAnsi="仿宋" w:eastAsia="仿宋" w:cs="仿宋"/>
          <w:sz w:val="22"/>
          <w:szCs w:val="22"/>
          <w:lang w:eastAsia="zh-CN"/>
        </w:rPr>
      </w:pPr>
      <w:r>
        <w:rPr>
          <w:rFonts w:hint="eastAsia" w:ascii="仿宋" w:hAnsi="仿宋" w:eastAsia="仿宋" w:cs="仿宋"/>
          <w:sz w:val="22"/>
          <w:szCs w:val="22"/>
          <w:lang w:eastAsia="zh-CN"/>
        </w:rPr>
        <w:drawing>
          <wp:inline distT="0" distB="0" distL="114300" distR="114300">
            <wp:extent cx="5476875" cy="4062095"/>
            <wp:effectExtent l="0" t="0" r="9525" b="14605"/>
            <wp:docPr id="15" name="图片 15" descr="162096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20960266"/>
                    <pic:cNvPicPr>
                      <a:picLocks noChangeAspect="1"/>
                    </pic:cNvPicPr>
                  </pic:nvPicPr>
                  <pic:blipFill>
                    <a:blip r:embed="rId13"/>
                    <a:stretch>
                      <a:fillRect/>
                    </a:stretch>
                  </pic:blipFill>
                  <pic:spPr>
                    <a:xfrm>
                      <a:off x="0" y="0"/>
                      <a:ext cx="5476875" cy="4062095"/>
                    </a:xfrm>
                    <a:prstGeom prst="rect">
                      <a:avLst/>
                    </a:prstGeom>
                  </pic:spPr>
                </pic:pic>
              </a:graphicData>
            </a:graphic>
          </wp:inline>
        </w:drawing>
      </w:r>
    </w:p>
    <w:p>
      <w:pPr>
        <w:spacing w:line="560" w:lineRule="exact"/>
        <w:ind w:firstLine="600"/>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空中足球竞技场地图</w:t>
      </w:r>
    </w:p>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2.技术要求</w:t>
      </w:r>
    </w:p>
    <w:p>
      <w:pPr>
        <w:widowControl w:val="0"/>
        <w:autoSpaceDE w:val="0"/>
        <w:autoSpaceDN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（1）模型类型为无刷电动机为动力的四轴飞行器。必须使用球形外框，球形外框直径不超过35厘米；无人机所有部件必须在球形外框内，不得外露。</w:t>
      </w:r>
    </w:p>
    <w:p>
      <w:pPr>
        <w:widowControl w:val="0"/>
        <w:autoSpaceDE w:val="0"/>
        <w:autoSpaceDN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（2）无人机动力电池最大标称电压为11.1V（3S），容量不大于750毫安，无人机重量不大于450克（±2克）。</w:t>
      </w:r>
    </w:p>
    <w:p>
      <w:pPr>
        <w:widowControl w:val="0"/>
        <w:autoSpaceDE w:val="0"/>
        <w:autoSpaceDN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（3）无人机使用无线电遥控操作，遥控器发射频率为2.4G；禁止使用预先编程模式飞行，可以使用自稳模式。</w:t>
      </w:r>
    </w:p>
    <w:p>
      <w:pPr>
        <w:widowControl w:val="0"/>
        <w:autoSpaceDE w:val="0"/>
        <w:autoSpaceDN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（4）每队无人机须有明显标识。</w:t>
      </w:r>
    </w:p>
    <w:p>
      <w:pPr>
        <w:widowControl w:val="0"/>
        <w:autoSpaceDE w:val="0"/>
        <w:autoSpaceDN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（5）无人机都必须经过器材注册方能参加竞赛活动，未注册的模型或模型编号与本队不符的比赛成绩无效；已注册的模型或遥控器禁止借给他人参赛，每队可在赛前注册多台。</w:t>
      </w:r>
    </w:p>
    <w:p>
      <w:pPr>
        <w:widowControl w:val="0"/>
        <w:autoSpaceDE w:val="0"/>
        <w:autoSpaceDN w:val="0"/>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3.比赛时间</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（1）每场比赛时间为4分钟，分上下半场，每2分钟交换场地，中场休息时间2分钟。</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（2）每队选手进场后有1分钟的准备时间，一分钟时间到，无论选手是否准备好立即由裁判员宣布比赛开始；比赛进行中除由裁判宣布的暂停外，比赛将连续计时。</w:t>
      </w:r>
    </w:p>
    <w:p>
      <w:pPr>
        <w:widowControl w:val="0"/>
        <w:autoSpaceDE w:val="0"/>
        <w:autoSpaceDN w:val="0"/>
        <w:spacing w:line="54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4.比赛方法</w:t>
      </w:r>
    </w:p>
    <w:p>
      <w:pPr>
        <w:widowControl w:val="0"/>
        <w:autoSpaceDE w:val="0"/>
        <w:autoSpaceDN w:val="0"/>
        <w:spacing w:line="54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（1）比赛将根据参赛队伍数量宣布比赛方式。可按组别分别进行小组循环赛或淘汰赛、半决赛和决赛方式进行。决赛按照6分钟（上、下半场各3分钟）进行。</w:t>
      </w:r>
    </w:p>
    <w:p>
      <w:pPr>
        <w:widowControl w:val="0"/>
        <w:autoSpaceDE w:val="0"/>
        <w:autoSpaceDN w:val="0"/>
        <w:spacing w:line="54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（2）根据报名情况按组别由电脑进行抽签分组。原则上预赛同队不同组。</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（3）每支参赛队伍最多由3名队员和1名教练组成；3名队员同时参加比赛，可根据比赛战略自由安排任意无人机完成进攻或防守任务。 </w:t>
      </w:r>
    </w:p>
    <w:p>
      <w:pPr>
        <w:widowControl w:val="0"/>
        <w:autoSpaceDE w:val="0"/>
        <w:autoSpaceDN w:val="0"/>
        <w:spacing w:line="54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5.比赛过程</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（1）每队选手点名进场，并在一分钟内把无人机放置在“起降区”后，完成比赛准备；一分钟时间到，裁判员宣布“解锁”，宣布后大约3至5秒，宣布“开始”，正式开始比赛。</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进球：当一方任意无人机球穿过对方球队的球门环时，球队得1分：半个无人机球已经穿过了球门环的正面也视为得分有效。已方任何一个无人机球穿过（或半个无人机球已经穿过了）本方球门，则判定对方得分。</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（3）当一方球队进球时，裁判鸣哨，场上所有无人机必须返回到各自半场区域，等待裁判再次宣布“比赛继续进行”，此时比赛时间将继续计时。</w:t>
      </w:r>
    </w:p>
    <w:p>
      <w:pPr>
        <w:widowControl w:val="0"/>
        <w:autoSpaceDE w:val="0"/>
        <w:autoSpaceDN w:val="0"/>
        <w:spacing w:line="54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（4）比赛过程中，如一方的无人机球坠地，可以继续起飞的可以继续比赛；如不能再起飞，则只能在半场比赛结束后取出维修，场上比赛继续；比赛期间选手不能进入场地取出无人机，只能以少打多。</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（5）比赛时间结束则由裁判以哨声为准。</w:t>
      </w:r>
    </w:p>
    <w:p>
      <w:pPr>
        <w:widowControl w:val="0"/>
        <w:autoSpaceDE w:val="0"/>
        <w:autoSpaceDN w:val="0"/>
        <w:spacing w:line="54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6.成绩评定</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（1）预赛每场比赛以得分更多的球队获胜，得3分，负者得0分。如果两个队的进球数相同，或者两个队都没有进球就以平局告终，两队各得1分；小组赛以得分排列，前两名的队伍晋级下一阶段淘汰赛的比赛。</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（2）淘汰赛比赛方式和小组赛相同。比赛成绩如出现平局则进行加时赛；加时赛采用金球决胜（第一个进球决定胜出的球队）的方式决出胜负。</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（3）半决赛和决赛方式和小组赛相同。比赛成绩如出现平局，则进行加时赛，加时赛采用金球决胜的方式决出胜负。</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（4）半决赛和决赛将根据参赛队数选取参赛队伍数量，胜者进入决赛冠亚季军争夺，负者进行名次争夺。</w:t>
      </w:r>
    </w:p>
    <w:p>
      <w:pPr>
        <w:widowControl w:val="0"/>
        <w:autoSpaceDE w:val="0"/>
        <w:autoSpaceDN w:val="0"/>
        <w:spacing w:line="54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7.判罚</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（1）使用不符合竞赛规则规定或者未经裁判员审核合格的参赛设备成绩无效。</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（2）比赛队伍准备期间，只有参赛队员可以进入准备区域，带队老师不得进入准备区域或与选手交流。 </w:t>
      </w:r>
    </w:p>
    <w:p>
      <w:pPr>
        <w:widowControl w:val="0"/>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（3）器材经审核验机后统一交由保管处进行保管，比赛期间除参赛选手外，任何人不得在场地附近试飞无人机。</w:t>
      </w:r>
    </w:p>
    <w:p>
      <w:pPr>
        <w:widowControl w:val="0"/>
        <w:autoSpaceDE w:val="0"/>
        <w:autoSpaceDN w:val="0"/>
        <w:spacing w:line="5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 比赛进行中非上场队擅自开启或使用无线电设备的，该队成绩取消。</w:t>
      </w:r>
    </w:p>
    <w:p>
      <w:pPr>
        <w:widowControl w:val="0"/>
        <w:autoSpaceDE w:val="0"/>
        <w:autoSpaceDN w:val="0"/>
        <w:spacing w:line="540" w:lineRule="exact"/>
        <w:ind w:firstLine="640"/>
        <w:rPr>
          <w:rFonts w:ascii="黑体" w:hAnsi="黑体" w:eastAsia="黑体" w:cs="黑体"/>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sz w:val="32"/>
          <w:szCs w:val="32"/>
        </w:rPr>
        <w:t>（5）不服从裁判指挥或妨碍竞赛正常进行的行为将视情节轻重给予警告、严重警告，直至取消比赛资格的处罚。</w:t>
      </w:r>
    </w:p>
    <w:p>
      <w:pPr>
        <w:spacing w:line="560" w:lineRule="exact"/>
        <w:ind w:firstLine="640"/>
        <w:rPr>
          <w:rFonts w:ascii="黑体" w:hAnsi="黑体" w:eastAsia="黑体" w:cs="黑体"/>
          <w:color w:val="000000" w:themeColor="text1"/>
          <w:sz w:val="32"/>
          <w:szCs w:val="32"/>
          <w:shd w:val="clear" w:color="000000" w:fill="auto"/>
          <w14:textFill>
            <w14:solidFill>
              <w14:schemeClr w14:val="tx1"/>
            </w14:solidFill>
          </w14:textFill>
        </w:rPr>
      </w:pPr>
      <w:r>
        <w:rPr>
          <w:rFonts w:hint="eastAsia" w:ascii="黑体" w:hAnsi="黑体" w:eastAsia="黑体" w:cs="黑体"/>
          <w:color w:val="000000" w:themeColor="text1"/>
          <w:sz w:val="32"/>
          <w:szCs w:val="32"/>
          <w:shd w:val="clear" w:color="000000" w:fill="auto"/>
          <w14:textFill>
            <w14:solidFill>
              <w14:schemeClr w14:val="tx1"/>
            </w14:solidFill>
          </w14:textFill>
        </w:rPr>
        <w:t>五、无人机科创嘉年华</w:t>
      </w:r>
    </w:p>
    <w:p>
      <w:pPr>
        <w:spacing w:line="560" w:lineRule="exact"/>
        <w:ind w:firstLine="640"/>
        <w:jc w:val="left"/>
        <w:rPr>
          <w:rFonts w:ascii="仿宋_GB2312" w:hAnsi="仿宋_GB2312" w:eastAsia="仿宋_GB2312" w:cs="仿宋_GB2312"/>
          <w:color w:val="FF0000"/>
          <w:sz w:val="32"/>
          <w:szCs w:val="32"/>
          <w:shd w:val="clear" w:color="000000" w:fill="auto"/>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无人机科创嘉年华包括“无人机创意设计绘画比赛”和“无人机创意作品比赛”两个项目。</w:t>
      </w:r>
    </w:p>
    <w:p>
      <w:pPr>
        <w:spacing w:line="560" w:lineRule="exact"/>
        <w:ind w:firstLine="640"/>
        <w:jc w:val="left"/>
        <w:rPr>
          <w:rFonts w:ascii="仿宋_GB2312" w:hAnsi="仿宋_GB2312" w:eastAsia="仿宋_GB2312" w:cs="仿宋_GB2312"/>
          <w:bCs/>
          <w:sz w:val="32"/>
          <w:szCs w:val="32"/>
          <w:shd w:val="clear" w:color="000000" w:fill="auto"/>
        </w:rPr>
      </w:pPr>
      <w:r>
        <w:rPr>
          <w:rFonts w:hint="eastAsia" w:ascii="仿宋_GB2312" w:hAnsi="仿宋_GB2312" w:eastAsia="仿宋_GB2312" w:cs="仿宋_GB2312"/>
          <w:bCs/>
          <w:sz w:val="32"/>
          <w:szCs w:val="32"/>
          <w:shd w:val="clear" w:color="000000" w:fill="auto"/>
        </w:rPr>
        <w:t>1.参赛人员：每件作品可以由1-2名学生完成，配1名辅导教师。</w:t>
      </w:r>
    </w:p>
    <w:p>
      <w:pPr>
        <w:spacing w:line="560" w:lineRule="exact"/>
        <w:ind w:firstLine="640"/>
        <w:jc w:val="left"/>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2.参赛分组：“无人机外观设计绘画比赛”和“无人机创意作品比赛”皆分为初中组、高中组。</w:t>
      </w:r>
    </w:p>
    <w:p>
      <w:pPr>
        <w:pStyle w:val="42"/>
        <w:spacing w:line="560" w:lineRule="exact"/>
        <w:ind w:left="420" w:firstLine="161"/>
        <w:jc w:val="left"/>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3.无人机创意设计绘画作品展评细则</w:t>
      </w:r>
    </w:p>
    <w:p>
      <w:pPr>
        <w:spacing w:line="560" w:lineRule="exact"/>
        <w:ind w:firstLine="640"/>
        <w:jc w:val="left"/>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（1）作品必须为原创且由参赛者独立手绘完成，绘画形式不限。但作品必须是紧紧围绕无人机的主题，充分描绘无人机在各个领域应用的场景。</w:t>
      </w:r>
    </w:p>
    <w:p>
      <w:pPr>
        <w:spacing w:line="560" w:lineRule="exact"/>
        <w:ind w:firstLine="640"/>
        <w:jc w:val="left"/>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（2）参赛作品一律在规格为4开（389mm*546mm）的纸质或其他材料上绘制，配200字说明书，要求提供的作品装裱好并可以悬挂于墙上。</w:t>
      </w:r>
    </w:p>
    <w:p>
      <w:pPr>
        <w:spacing w:line="560" w:lineRule="exact"/>
        <w:ind w:firstLine="64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（3）评分标准：</w:t>
      </w:r>
    </w:p>
    <w:tbl>
      <w:tblPr>
        <w:tblStyle w:val="28"/>
        <w:tblW w:w="82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627"/>
        <w:gridCol w:w="1455"/>
        <w:gridCol w:w="1380"/>
        <w:gridCol w:w="162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内容</w:t>
            </w:r>
          </w:p>
        </w:tc>
        <w:tc>
          <w:tcPr>
            <w:tcW w:w="1627"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创意构思</w:t>
            </w:r>
          </w:p>
        </w:tc>
        <w:tc>
          <w:tcPr>
            <w:tcW w:w="1455" w:type="dxa"/>
            <w:shd w:val="clear" w:color="000000" w:fill="auto"/>
            <w:vAlign w:val="center"/>
          </w:tcPr>
          <w:p>
            <w:pPr>
              <w:spacing w:line="560" w:lineRule="exact"/>
              <w:jc w:val="center"/>
              <w:rPr>
                <w:rFonts w:ascii="仿宋_GB2312" w:hAnsi="仿宋_GB2312" w:eastAsia="仿宋_GB2312" w:cs="仿宋_GB2312"/>
                <w:color w:val="000000" w:themeColor="text1"/>
                <w:spacing w:val="-20"/>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pacing w:val="-20"/>
                <w:sz w:val="32"/>
                <w:szCs w:val="32"/>
                <w:shd w:val="clear" w:color="000000" w:fill="auto"/>
                <w14:textFill>
                  <w14:solidFill>
                    <w14:schemeClr w14:val="tx1"/>
                  </w14:solidFill>
                </w14:textFill>
              </w:rPr>
              <w:t>绘画水平</w:t>
            </w:r>
          </w:p>
        </w:tc>
        <w:tc>
          <w:tcPr>
            <w:tcW w:w="138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说明书</w:t>
            </w:r>
          </w:p>
        </w:tc>
        <w:tc>
          <w:tcPr>
            <w:tcW w:w="162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pacing w:val="-20"/>
                <w:sz w:val="32"/>
                <w:szCs w:val="32"/>
                <w:shd w:val="clear" w:color="000000" w:fill="auto"/>
                <w14:textFill>
                  <w14:solidFill>
                    <w14:schemeClr w14:val="tx1"/>
                  </w14:solidFill>
                </w14:textFill>
              </w:rPr>
              <w:t>装裱外观</w:t>
            </w:r>
          </w:p>
        </w:tc>
        <w:tc>
          <w:tcPr>
            <w:tcW w:w="126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总分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96"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评分</w:t>
            </w:r>
          </w:p>
        </w:tc>
        <w:tc>
          <w:tcPr>
            <w:tcW w:w="1627" w:type="dxa"/>
            <w:shd w:val="clear" w:color="000000" w:fill="auto"/>
            <w:vAlign w:val="center"/>
          </w:tcPr>
          <w:p>
            <w:pPr>
              <w:spacing w:line="560" w:lineRule="exact"/>
              <w:ind w:firstLine="48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40%</w:t>
            </w:r>
          </w:p>
        </w:tc>
        <w:tc>
          <w:tcPr>
            <w:tcW w:w="1455" w:type="dxa"/>
            <w:shd w:val="clear" w:color="000000" w:fill="auto"/>
            <w:vAlign w:val="center"/>
          </w:tcPr>
          <w:p>
            <w:pPr>
              <w:spacing w:line="560" w:lineRule="exact"/>
              <w:ind w:firstLine="32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40%</w:t>
            </w:r>
          </w:p>
        </w:tc>
        <w:tc>
          <w:tcPr>
            <w:tcW w:w="1380" w:type="dxa"/>
            <w:shd w:val="clear" w:color="000000" w:fill="auto"/>
            <w:vAlign w:val="center"/>
          </w:tcPr>
          <w:p>
            <w:pPr>
              <w:spacing w:line="560" w:lineRule="exact"/>
              <w:ind w:firstLine="32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10%</w:t>
            </w:r>
          </w:p>
        </w:tc>
        <w:tc>
          <w:tcPr>
            <w:tcW w:w="1620" w:type="dxa"/>
            <w:shd w:val="clear" w:color="000000" w:fill="auto"/>
            <w:vAlign w:val="center"/>
          </w:tcPr>
          <w:p>
            <w:pPr>
              <w:spacing w:line="560" w:lineRule="exact"/>
              <w:ind w:firstLine="48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10%</w:t>
            </w:r>
          </w:p>
        </w:tc>
        <w:tc>
          <w:tcPr>
            <w:tcW w:w="126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100</w:t>
            </w:r>
          </w:p>
        </w:tc>
      </w:tr>
    </w:tbl>
    <w:p>
      <w:pPr>
        <w:spacing w:line="360" w:lineRule="auto"/>
        <w:ind w:firstLine="480"/>
        <w:jc w:val="left"/>
        <w:rPr>
          <w:rFonts w:ascii="仿宋" w:hAnsi="仿宋" w:eastAsia="仿宋"/>
          <w:color w:val="000000" w:themeColor="text1"/>
          <w:sz w:val="32"/>
          <w:szCs w:val="32"/>
          <w:shd w:val="clear" w:color="000000" w:fill="auto"/>
          <w14:textFill>
            <w14:solidFill>
              <w14:schemeClr w14:val="tx1"/>
            </w14:solidFill>
          </w14:textFill>
        </w:rPr>
      </w:pPr>
      <w:r>
        <w:rPr>
          <w:rFonts w:ascii="仿宋" w:hAnsi="仿宋" w:eastAsia="仿宋"/>
          <w:color w:val="000000" w:themeColor="text1"/>
          <w:sz w:val="32"/>
          <w:szCs w:val="32"/>
          <w:shd w:val="clear" w:color="000000" w:fill="auto"/>
          <w14:textFill>
            <w14:solidFill>
              <w14:schemeClr w14:val="tx1"/>
            </w14:solidFill>
          </w14:textFill>
        </w:rPr>
        <w:t>（4）奖项设置</w:t>
      </w:r>
    </w:p>
    <w:p>
      <w:pPr>
        <w:spacing w:line="36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初中组、高中组按成绩先后顺序评定等级奖项一等奖10%、二等奖20%，三等奖30%，其余为优胜奖。其中前三名颁发冠、亚、季军奖杯、奖牌及奖品。</w:t>
      </w:r>
    </w:p>
    <w:p>
      <w:pPr>
        <w:spacing w:line="560" w:lineRule="exact"/>
        <w:ind w:firstLine="640" w:firstLineChars="200"/>
        <w:jc w:val="left"/>
        <w:rPr>
          <w:rFonts w:ascii="仿宋_GB2312" w:hAnsi="仿宋_GB2312" w:eastAsia="仿宋_GB2312" w:cs="仿宋_GB2312"/>
          <w:b/>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bCs/>
          <w:color w:val="000000" w:themeColor="text1"/>
          <w:sz w:val="32"/>
          <w:szCs w:val="32"/>
          <w:shd w:val="clear" w:color="000000" w:fill="auto"/>
          <w14:textFill>
            <w14:solidFill>
              <w14:schemeClr w14:val="tx1"/>
            </w14:solidFill>
          </w14:textFill>
        </w:rPr>
        <w:t xml:space="preserve">4.无人机创意作品展评细则  </w:t>
      </w:r>
      <w:r>
        <w:rPr>
          <w:rFonts w:hint="eastAsia" w:ascii="仿宋_GB2312" w:hAnsi="仿宋_GB2312" w:eastAsia="仿宋_GB2312" w:cs="仿宋_GB2312"/>
          <w:b/>
          <w:color w:val="000000" w:themeColor="text1"/>
          <w:sz w:val="32"/>
          <w:szCs w:val="32"/>
          <w:shd w:val="clear" w:color="000000" w:fill="auto"/>
          <w14:textFill>
            <w14:solidFill>
              <w14:schemeClr w14:val="tx1"/>
            </w14:solidFill>
          </w14:textFill>
        </w:rPr>
        <w:t xml:space="preserve">                                                                                                                                                                                                                                                                                                                     </w:t>
      </w:r>
    </w:p>
    <w:p>
      <w:pPr>
        <w:spacing w:line="560" w:lineRule="exact"/>
        <w:ind w:firstLine="480"/>
        <w:jc w:val="left"/>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（1）参赛作品使用材质不限、作品尺寸不限。</w:t>
      </w:r>
    </w:p>
    <w:p>
      <w:pPr>
        <w:spacing w:line="560" w:lineRule="exact"/>
        <w:ind w:firstLine="480"/>
        <w:jc w:val="left"/>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（2）要求参赛者提供设计方案及制作好的无人机作品，现场演示无人机功能及特点，并回答专家提出问题。</w:t>
      </w:r>
    </w:p>
    <w:p>
      <w:pPr>
        <w:spacing w:line="560" w:lineRule="exact"/>
        <w:ind w:firstLine="48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（3）评分标准：</w:t>
      </w:r>
    </w:p>
    <w:tbl>
      <w:tblPr>
        <w:tblStyle w:val="28"/>
        <w:tblW w:w="82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627"/>
        <w:gridCol w:w="1455"/>
        <w:gridCol w:w="1380"/>
        <w:gridCol w:w="162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内容</w:t>
            </w:r>
          </w:p>
        </w:tc>
        <w:tc>
          <w:tcPr>
            <w:tcW w:w="1627"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设计方案</w:t>
            </w:r>
          </w:p>
        </w:tc>
        <w:tc>
          <w:tcPr>
            <w:tcW w:w="1455" w:type="dxa"/>
            <w:shd w:val="clear" w:color="000000" w:fill="auto"/>
            <w:vAlign w:val="center"/>
          </w:tcPr>
          <w:p>
            <w:pPr>
              <w:spacing w:line="560" w:lineRule="exact"/>
              <w:jc w:val="center"/>
              <w:rPr>
                <w:rFonts w:ascii="仿宋_GB2312" w:hAnsi="仿宋_GB2312" w:eastAsia="仿宋_GB2312" w:cs="仿宋_GB2312"/>
                <w:color w:val="000000" w:themeColor="text1"/>
                <w:spacing w:val="-20"/>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pacing w:val="-20"/>
                <w:sz w:val="32"/>
                <w:szCs w:val="32"/>
                <w:shd w:val="clear" w:color="000000" w:fill="auto"/>
                <w14:textFill>
                  <w14:solidFill>
                    <w14:schemeClr w14:val="tx1"/>
                  </w14:solidFill>
                </w14:textFill>
              </w:rPr>
              <w:t>制作水平</w:t>
            </w:r>
          </w:p>
        </w:tc>
        <w:tc>
          <w:tcPr>
            <w:tcW w:w="138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pacing w:val="-20"/>
                <w:sz w:val="32"/>
                <w:szCs w:val="32"/>
                <w:shd w:val="clear" w:color="000000" w:fill="auto"/>
                <w14:textFill>
                  <w14:solidFill>
                    <w14:schemeClr w14:val="tx1"/>
                  </w14:solidFill>
                </w14:textFill>
              </w:rPr>
              <w:t>综合功能</w:t>
            </w:r>
          </w:p>
        </w:tc>
        <w:tc>
          <w:tcPr>
            <w:tcW w:w="162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pacing w:val="-20"/>
                <w:sz w:val="32"/>
                <w:szCs w:val="32"/>
                <w:shd w:val="clear" w:color="000000" w:fill="auto"/>
                <w14:textFill>
                  <w14:solidFill>
                    <w14:schemeClr w14:val="tx1"/>
                  </w14:solidFill>
                </w14:textFill>
              </w:rPr>
              <w:t>现场解说</w:t>
            </w:r>
          </w:p>
        </w:tc>
        <w:tc>
          <w:tcPr>
            <w:tcW w:w="126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总分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评分</w:t>
            </w:r>
          </w:p>
        </w:tc>
        <w:tc>
          <w:tcPr>
            <w:tcW w:w="1627" w:type="dxa"/>
            <w:shd w:val="clear" w:color="000000" w:fill="auto"/>
            <w:vAlign w:val="center"/>
          </w:tcPr>
          <w:p>
            <w:pPr>
              <w:spacing w:line="560" w:lineRule="exact"/>
              <w:ind w:firstLine="48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30%</w:t>
            </w:r>
          </w:p>
        </w:tc>
        <w:tc>
          <w:tcPr>
            <w:tcW w:w="1455" w:type="dxa"/>
            <w:shd w:val="clear" w:color="000000" w:fill="auto"/>
            <w:vAlign w:val="center"/>
          </w:tcPr>
          <w:p>
            <w:pPr>
              <w:spacing w:line="560" w:lineRule="exact"/>
              <w:ind w:firstLine="32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20%</w:t>
            </w:r>
          </w:p>
        </w:tc>
        <w:tc>
          <w:tcPr>
            <w:tcW w:w="1380" w:type="dxa"/>
            <w:shd w:val="clear" w:color="000000" w:fill="auto"/>
            <w:vAlign w:val="center"/>
          </w:tcPr>
          <w:p>
            <w:pPr>
              <w:spacing w:line="560" w:lineRule="exact"/>
              <w:ind w:firstLine="32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40%</w:t>
            </w:r>
          </w:p>
        </w:tc>
        <w:tc>
          <w:tcPr>
            <w:tcW w:w="1620" w:type="dxa"/>
            <w:shd w:val="clear" w:color="000000" w:fill="auto"/>
            <w:vAlign w:val="center"/>
          </w:tcPr>
          <w:p>
            <w:pPr>
              <w:spacing w:line="560" w:lineRule="exact"/>
              <w:ind w:firstLine="480"/>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10%</w:t>
            </w:r>
          </w:p>
        </w:tc>
        <w:tc>
          <w:tcPr>
            <w:tcW w:w="1260" w:type="dxa"/>
            <w:shd w:val="clear" w:color="000000" w:fill="auto"/>
            <w:vAlign w:val="center"/>
          </w:tcPr>
          <w:p>
            <w:pPr>
              <w:spacing w:line="560" w:lineRule="exact"/>
              <w:jc w:val="center"/>
              <w:rPr>
                <w:rFonts w:ascii="仿宋_GB2312" w:hAnsi="仿宋_GB2312" w:eastAsia="仿宋_GB2312" w:cs="仿宋_GB2312"/>
                <w:color w:val="000000" w:themeColor="text1"/>
                <w:sz w:val="32"/>
                <w:szCs w:val="32"/>
                <w:shd w:val="clear" w:color="000000" w:fill="auto"/>
                <w14:textFill>
                  <w14:solidFill>
                    <w14:schemeClr w14:val="tx1"/>
                  </w14:solidFill>
                </w14:textFill>
              </w:rPr>
            </w:pPr>
            <w:r>
              <w:rPr>
                <w:rFonts w:hint="eastAsia" w:ascii="仿宋_GB2312" w:hAnsi="仿宋_GB2312" w:eastAsia="仿宋_GB2312" w:cs="仿宋_GB2312"/>
                <w:color w:val="000000" w:themeColor="text1"/>
                <w:sz w:val="32"/>
                <w:szCs w:val="32"/>
                <w:shd w:val="clear" w:color="000000" w:fill="auto"/>
                <w14:textFill>
                  <w14:solidFill>
                    <w14:schemeClr w14:val="tx1"/>
                  </w14:solidFill>
                </w14:textFill>
              </w:rPr>
              <w:t>100</w:t>
            </w:r>
          </w:p>
        </w:tc>
      </w:tr>
    </w:tbl>
    <w:p>
      <w:pPr>
        <w:spacing w:line="360" w:lineRule="auto"/>
        <w:ind w:firstLine="480"/>
        <w:jc w:val="left"/>
        <w:rPr>
          <w:rFonts w:ascii="仿宋" w:hAnsi="仿宋" w:eastAsia="仿宋"/>
          <w:color w:val="000000" w:themeColor="text1"/>
          <w:sz w:val="32"/>
          <w:szCs w:val="32"/>
          <w:shd w:val="clear" w:color="000000" w:fill="auto"/>
          <w14:textFill>
            <w14:solidFill>
              <w14:schemeClr w14:val="tx1"/>
            </w14:solidFill>
          </w14:textFill>
        </w:rPr>
      </w:pPr>
      <w:r>
        <w:rPr>
          <w:rFonts w:ascii="仿宋" w:hAnsi="仿宋" w:eastAsia="仿宋"/>
          <w:color w:val="000000" w:themeColor="text1"/>
          <w:sz w:val="32"/>
          <w:szCs w:val="32"/>
          <w:shd w:val="clear" w:color="000000" w:fill="auto"/>
          <w14:textFill>
            <w14:solidFill>
              <w14:schemeClr w14:val="tx1"/>
            </w14:solidFill>
          </w14:textFill>
        </w:rPr>
        <w:t>（4）奖项设置</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初中组、高中组按成绩先后顺序评定等级奖项一等奖10%、二等奖20%，三等奖30%，其余为优胜奖。其中前三名颁发冠、亚、季军奖杯、奖牌及奖品。</w:t>
      </w:r>
    </w:p>
    <w:p>
      <w:pPr>
        <w:spacing w:line="560" w:lineRule="exact"/>
        <w:ind w:firstLine="64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六、“红色之旅”无人机陆空协同赛</w:t>
      </w:r>
    </w:p>
    <w:p>
      <w:pPr>
        <w:spacing w:line="560" w:lineRule="exact"/>
        <w:ind w:firstLine="643" w:firstLineChars="200"/>
        <w:rPr>
          <w:rFonts w:ascii="黑体" w:hAnsi="黑体" w:eastAsia="黑体" w:cs="黑体"/>
          <w:color w:val="000000" w:themeColor="text1"/>
          <w:sz w:val="32"/>
          <w:szCs w:val="32"/>
          <w14:textFill>
            <w14:solidFill>
              <w14:schemeClr w14:val="tx1"/>
            </w14:solidFill>
          </w14:textFill>
        </w:rPr>
      </w:pPr>
      <w:r>
        <w:rPr>
          <w:rFonts w:ascii="宋体" w:hAnsi="宋体" w:eastAsia="宋体"/>
          <w:b/>
          <w:color w:val="000000"/>
          <w:sz w:val="32"/>
          <w:szCs w:val="32"/>
          <w:shd w:val="clear" w:color="000000" w:fill="auto"/>
        </w:rPr>
        <w:t>（</w:t>
      </w:r>
      <w:r>
        <w:rPr>
          <w:rFonts w:hint="eastAsia" w:ascii="宋体" w:hAnsi="宋体" w:eastAsia="宋体"/>
          <w:b/>
          <w:color w:val="000000"/>
          <w:sz w:val="32"/>
          <w:szCs w:val="32"/>
          <w:shd w:val="clear" w:color="000000" w:fill="auto"/>
        </w:rPr>
        <w:t>一</w:t>
      </w:r>
      <w:r>
        <w:rPr>
          <w:rFonts w:ascii="宋体" w:hAnsi="宋体" w:eastAsia="宋体"/>
          <w:b/>
          <w:color w:val="000000"/>
          <w:sz w:val="32"/>
          <w:szCs w:val="32"/>
          <w:shd w:val="clear" w:color="000000" w:fill="auto"/>
        </w:rPr>
        <w:t>）</w:t>
      </w:r>
      <w:r>
        <w:rPr>
          <w:rFonts w:hint="eastAsia" w:ascii="宋体" w:hAnsi="宋体" w:eastAsia="宋体"/>
          <w:b/>
          <w:color w:val="000000"/>
          <w:sz w:val="32"/>
          <w:szCs w:val="32"/>
          <w:shd w:val="clear" w:color="000000" w:fill="auto"/>
        </w:rPr>
        <w:t>初中组规则</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1、赛事背景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大湾区旅游局策划一场红色之旅，让无人机和无人车陆空协同搭载国旗，追寻先辈足迹，重温革命的岁月。无人机、无人车从大湾区、北京两地出发，分别需要穿山越岭，到达各个红色根据地，在遵义会师完成红旗的对接，一同返回首都北京献礼。</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2、赛事设计</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通过智能搬运、物联创新、计算机实时控制无人机飞行，实现多个任务联动，完成赛道。赛事考察选手的组织能力、团队协调能力、创新能力、数学能力、逻辑思维能力等，提升学生知识迁移应用，解决问题的综合能力。</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3、场地示意图</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陆空协同的活动场地长为6米，宽为4米，高为2.7米，场地内圆环直径70厘米，拱门内径高70厘米，起飞区、降落区和障碍物摆放区为边长30厘米的正方形区域，投放区直径60厘米圆形区域，巡线线宽40毫米（误差正负3毫米）包含多种类型的障碍物。起降A区、起降B区以及多种类型障碍物前都可以摆放识别卡用于辅助定位（识别卡由选手自带，最多9张，尺寸不超过30厘米*30厘米），但是拾取区和投放区不能摆放识别卡。场地示例如下图所示，实际活动场地以现场设置为准。</w:t>
      </w:r>
    </w:p>
    <w:p>
      <w:pPr>
        <w:widowControl w:val="0"/>
        <w:autoSpaceDE w:val="0"/>
        <w:autoSpaceDN w:val="0"/>
        <w:ind w:firstLine="560" w:firstLineChars="200"/>
        <w:jc w:val="left"/>
        <w:rPr>
          <w:rFonts w:ascii="仿宋" w:hAnsi="仿宋" w:eastAsia="仿宋" w:cs="仿宋"/>
          <w:bCs/>
          <w:color w:val="000000"/>
          <w:sz w:val="32"/>
          <w:szCs w:val="32"/>
          <w:lang w:bidi="ar"/>
        </w:rPr>
      </w:pPr>
      <w:r>
        <w:rPr>
          <w:rFonts w:ascii="宋体" w:hAnsi="宋体" w:eastAsia="宋体"/>
          <w:bCs/>
          <w:color w:val="000000"/>
          <w:sz w:val="28"/>
          <w:szCs w:val="28"/>
          <w:shd w:val="clear" w:color="000000" w:fill="auto"/>
        </w:rPr>
        <w:drawing>
          <wp:inline distT="0" distB="0" distL="114300" distR="114300">
            <wp:extent cx="5541010" cy="3378200"/>
            <wp:effectExtent l="0" t="0" r="2540" b="1270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541010" cy="3378200"/>
                    </a:xfrm>
                    <a:prstGeom prst="rect">
                      <a:avLst/>
                    </a:prstGeom>
                    <a:noFill/>
                    <a:ln>
                      <a:noFill/>
                    </a:ln>
                  </pic:spPr>
                </pic:pic>
              </a:graphicData>
            </a:graphic>
          </wp:inline>
        </w:drawing>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 xml:space="preserve">4、赛事任务 </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（1）无人机任务：无人机从起降A区起飞，飞至投放区投掷物品给小车，继续飞至降落B区结束。</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任务一：无人机穿越圆环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任务二：无人机在拾取区携带1个道具（道具：边长或直径大于等于20毫米小于等于100毫米，高度小于等于50毫米，重量大于等于5克；道具可自带，材料、颜色不限）</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任务三：无人机巡线飞行，巡线飞行过程中，无人机不得明显偏离黑线</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任务四：无人机投放道具，飞机将道具投放至小车上，投放标准为物品能够落在小车上</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任务五：无人机通过交叉环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任务六：立杆绕行，最终在起降B区降落。</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（2）赛车的比赛任务：</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任务一：小车直接到达障碍物摆放区，清除障碍物。</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任务二：到达投放区，等候无人机投放道具，随后小车携带道具回到出发点。</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 xml:space="preserve">6、得分规则  总分100分       </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2376"/>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得分点</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得分条件</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无人机任务1</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通过圆环</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无人机任务2</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拾取道具</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无人机任务3</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巡线飞行</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无人机任务4</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投放道具</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无人机任务5</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通过交叉环</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无人机任务6</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立杆绕行</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小车任务1</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清除障碍物</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小车任务2</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携带道具返回出发点</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gridSpan w:val="2"/>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总分</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100</w:t>
            </w:r>
          </w:p>
        </w:tc>
      </w:tr>
    </w:tbl>
    <w:p>
      <w:pPr>
        <w:widowControl w:val="0"/>
        <w:autoSpaceDE w:val="0"/>
        <w:autoSpaceDN w:val="0"/>
        <w:ind w:firstLine="640" w:firstLineChars="200"/>
        <w:jc w:val="left"/>
        <w:rPr>
          <w:rFonts w:ascii="仿宋" w:hAnsi="仿宋" w:eastAsia="仿宋" w:cs="仿宋"/>
          <w:bCs/>
          <w:color w:val="000000"/>
          <w:sz w:val="32"/>
          <w:szCs w:val="32"/>
          <w:lang w:bidi="ar"/>
        </w:rPr>
      </w:pP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7、补充说明</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（1）没有达到得分条件不得分（注：无人机没有拾取到道具只能得10分）</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（2）比赛排名由总分决定，总分相同的情况下，用时少的队伍排名靠前。</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（3）障碍物的位置由裁判在障碍区随机摆放。</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（4）参赛选手可以提前两组检录入场准备。</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（5）比赛可以重飞一次，以最好成绩计算，但每组比赛总时间控制在10分钟以内。</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（6）无人机要求</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 xml:space="preserve"> 飞行器：带灯光，重量≦120g,使用空心杯电机的四轴飞行器。</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 xml:space="preserve"> 编程软件：计算机安装图形化编程语言或C语言等对编程飞机控制。</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（7）参赛要求：</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 xml:space="preserve">  每支参赛队伍由2名学生和1名教练员组成。可携带两套参赛设备及两台笔记本电脑入场。</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无人机和小车合计总分100分。</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最终得分为“无人机+小车=总得分。</w:t>
      </w:r>
    </w:p>
    <w:p>
      <w:pPr>
        <w:widowControl w:val="0"/>
        <w:autoSpaceDE w:val="0"/>
        <w:autoSpaceDN w:val="0"/>
        <w:ind w:firstLine="643" w:firstLineChars="200"/>
        <w:jc w:val="left"/>
        <w:rPr>
          <w:rFonts w:ascii="宋体" w:hAnsi="宋体" w:eastAsia="宋体"/>
          <w:b/>
          <w:color w:val="000000"/>
          <w:sz w:val="32"/>
          <w:szCs w:val="32"/>
          <w:shd w:val="clear" w:color="000000" w:fill="auto"/>
        </w:rPr>
      </w:pPr>
      <w:r>
        <w:rPr>
          <w:rFonts w:hint="eastAsia" w:ascii="宋体" w:hAnsi="宋体" w:eastAsia="宋体"/>
          <w:b/>
          <w:color w:val="000000"/>
          <w:sz w:val="32"/>
          <w:szCs w:val="32"/>
          <w:shd w:val="clear" w:color="000000" w:fill="auto"/>
        </w:rPr>
        <w:t>（二）</w:t>
      </w:r>
      <w:r>
        <w:rPr>
          <w:rFonts w:ascii="宋体" w:hAnsi="宋体" w:eastAsia="宋体"/>
          <w:b/>
          <w:color w:val="000000"/>
          <w:sz w:val="32"/>
          <w:szCs w:val="32"/>
          <w:shd w:val="clear" w:color="000000" w:fill="auto"/>
        </w:rPr>
        <w:t>高中组规则</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1、赛事背景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大湾区旅游局策划一场红色之旅，让小车和无人机陆空协同搭载国旗，追寻先辈足迹，重温革命的岁月。无人机、无人车从大湾区、北京两地出发，分别需要穿山越岭，到达各个红色根据地，在遵义会师完成红旗的对接，一同返回首都北京献礼。</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2、赛事设计</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通过智能搬运、物联创新、计算机实时控制无人机飞行，实现多个任务联动，完成赛道。赛事考察选手的组织能力、团队协调能力、创新能力、数学能力、逻辑思维能力等，提升学生知识迁移应用，解决问题的综合能力。</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3、场地示意图</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陆空协同的活动场地长为6米，宽为4米，高为2.7米，场地内圆环直径70厘米，拱门内径高70厘米，起飞区、降落区和障碍物摆放区为边长30厘米的正方形区域，投放区直径60厘米圆形区域，巡线线宽40毫米（误差正负3毫米）包含多种类型的障碍物。起降A区、起降B区以及多种类型障碍物前都可以摆放识别卡用于辅助定位（识别卡由选手自带，最多9张，尺寸不超过30厘米*30厘米），但是拾取区和投放区不能摆放识别卡。场地示例如下图所示，实际活动场地以现场设置为准。</w:t>
      </w:r>
    </w:p>
    <w:p>
      <w:pPr>
        <w:widowControl w:val="0"/>
        <w:autoSpaceDE w:val="0"/>
        <w:autoSpaceDN w:val="0"/>
        <w:ind w:firstLine="560" w:firstLineChars="200"/>
        <w:jc w:val="left"/>
        <w:rPr>
          <w:rFonts w:ascii="仿宋" w:hAnsi="仿宋" w:eastAsia="仿宋" w:cs="仿宋"/>
          <w:bCs/>
          <w:color w:val="000000"/>
          <w:sz w:val="32"/>
          <w:szCs w:val="32"/>
          <w:lang w:bidi="ar"/>
        </w:rPr>
      </w:pPr>
      <w:r>
        <w:rPr>
          <w:rFonts w:ascii="宋体" w:hAnsi="宋体" w:eastAsia="宋体"/>
          <w:sz w:val="28"/>
          <w:szCs w:val="28"/>
        </w:rPr>
        <w:drawing>
          <wp:inline distT="0" distB="0" distL="114300" distR="114300">
            <wp:extent cx="4970145" cy="3199130"/>
            <wp:effectExtent l="0" t="0" r="1905"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4970145" cy="3199130"/>
                    </a:xfrm>
                    <a:prstGeom prst="rect">
                      <a:avLst/>
                    </a:prstGeom>
                    <a:noFill/>
                    <a:ln>
                      <a:noFill/>
                    </a:ln>
                  </pic:spPr>
                </pic:pic>
              </a:graphicData>
            </a:graphic>
          </wp:inline>
        </w:drawing>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 xml:space="preserve">4、赛事任务 </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1）1号机任务：无人机从起降A区起飞，飞至投放区投掷物品给小车，继续飞至降落B区结束。</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任务一：无人机穿越圆环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任务二：无人机在拾取区携带1个道具（道具：边长或直径大于等于20毫米小于等于100毫米，高度小于等于50毫米，重量大于等于5克；道具可自带，材料、颜色不限）</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任务三：无人机巡线飞行，巡线飞行过程中，无人机不得明显偏离黑线</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任务四：无人机投放道具，飞机将道具投放至投放区，投放标准为道具越靠近圆心为越精确。</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任务五：无人机通过交叉环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任务六：立杆绕行，最终在起降B区降落。</w:t>
      </w:r>
    </w:p>
    <w:p>
      <w:pPr>
        <w:widowControl w:val="0"/>
        <w:autoSpaceDE w:val="0"/>
        <w:autoSpaceDN w:val="0"/>
        <w:ind w:firstLine="640" w:firstLineChars="200"/>
        <w:jc w:val="left"/>
        <w:rPr>
          <w:rFonts w:ascii="仿宋" w:hAnsi="仿宋" w:eastAsia="仿宋" w:cs="仿宋"/>
          <w:bCs/>
          <w:color w:val="000000"/>
          <w:sz w:val="32"/>
          <w:szCs w:val="32"/>
          <w:lang w:bidi="ar"/>
        </w:rPr>
      </w:pP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2）2号机的比赛任务</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2号机无人机从起降B区起飞，飞至起降A区降落。</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任务一：无人机立杆绕行</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任务二：无人机穿过八字交叉环</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任务三: 无人机到达投放区，降落到小车上</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3）赛车的比赛任务：</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任务一：小车直接到达障碍物摆放区，清除障碍物。</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任务二：到达投放区，等候2号机降落至小车上，随后小车携带2号机回到起降A区。</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 xml:space="preserve">6、得分规则         </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无人机和小车的任务得分（总分：150）</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6"/>
        <w:gridCol w:w="876"/>
        <w:gridCol w:w="876"/>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任务</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1号机</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2号机</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小车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通过圆环</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拾取道具</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巡线飞行</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无人机降落在小车</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投放道具</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通过交叉环</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立杆绕行</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清除障碍物</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携带道具返回出发点</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0</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总分</w:t>
            </w:r>
          </w:p>
        </w:tc>
        <w:tc>
          <w:tcPr>
            <w:tcW w:w="0" w:type="auto"/>
            <w:vAlign w:val="center"/>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80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40</w:t>
            </w:r>
          </w:p>
        </w:tc>
        <w:tc>
          <w:tcPr>
            <w:tcW w:w="0" w:type="auto"/>
          </w:tcPr>
          <w:p>
            <w:pPr>
              <w:spacing w:line="560" w:lineRule="exact"/>
              <w:jc w:val="center"/>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30</w:t>
            </w:r>
          </w:p>
        </w:tc>
      </w:tr>
    </w:tbl>
    <w:p>
      <w:pPr>
        <w:widowControl w:val="0"/>
        <w:autoSpaceDE w:val="0"/>
        <w:autoSpaceDN w:val="0"/>
        <w:ind w:firstLine="640" w:firstLineChars="200"/>
        <w:jc w:val="left"/>
        <w:rPr>
          <w:rFonts w:ascii="仿宋" w:hAnsi="仿宋" w:eastAsia="仿宋" w:cs="仿宋"/>
          <w:bCs/>
          <w:color w:val="000000"/>
          <w:sz w:val="32"/>
          <w:szCs w:val="32"/>
          <w:lang w:bidi="ar"/>
        </w:rPr>
      </w:pP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7、补充说明</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1）没有达到得分条件不得分（注：1号机没有拾取到道具只能得10分；2号机没有完全掉落在地面均可得分；）</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2）比赛排名由总分决定，总分相同的情况下，用时少的队伍排名靠前。</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3）障碍物的位置由裁判在障碍区随机摆放。</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4）参赛选手可以提前两组检录入场准备。</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5）比赛可以重飞一次，以最好成绩计算，但每组比赛总时间控制在10分钟以内。</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6）无人机要求</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 xml:space="preserve"> 飞行器：带灯光，重量≦120g,使用空心杯电机的四轴飞行器。</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 xml:space="preserve"> 编程软件：计算机安装图形化编程语言或C语言等对编程飞机控制。</w:t>
      </w:r>
    </w:p>
    <w:p>
      <w:pPr>
        <w:widowControl w:val="0"/>
        <w:autoSpaceDE w:val="0"/>
        <w:autoSpaceDN w:val="0"/>
        <w:ind w:firstLine="640" w:firstLineChars="200"/>
        <w:jc w:val="left"/>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7）参赛要求：</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 xml:space="preserve">  每支参赛队伍由2名学生和1名教练员组成。可携带两套参赛设备及两台笔记本电脑入场。</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无人机和小车合计总分150分。</w:t>
      </w:r>
    </w:p>
    <w:p>
      <w:pPr>
        <w:widowControl w:val="0"/>
        <w:autoSpaceDE w:val="0"/>
        <w:autoSpaceDN w:val="0"/>
        <w:ind w:firstLine="640" w:firstLineChars="200"/>
        <w:jc w:val="left"/>
        <w:rPr>
          <w:rFonts w:ascii="仿宋" w:hAnsi="仿宋" w:eastAsia="仿宋" w:cs="仿宋"/>
          <w:bCs/>
          <w:color w:val="000000"/>
          <w:sz w:val="32"/>
          <w:szCs w:val="32"/>
          <w:lang w:bidi="ar"/>
        </w:rPr>
      </w:pPr>
      <w:r>
        <w:rPr>
          <w:rFonts w:ascii="仿宋" w:hAnsi="仿宋" w:eastAsia="仿宋" w:cs="仿宋"/>
          <w:bCs/>
          <w:color w:val="000000"/>
          <w:sz w:val="32"/>
          <w:szCs w:val="32"/>
          <w:lang w:bidi="ar"/>
        </w:rPr>
        <w:t>最终得分为“1号机+2号机+小车=总得分。</w:t>
      </w:r>
    </w:p>
    <w:p>
      <w:pP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br w:type="page"/>
      </w:r>
    </w:p>
    <w:p>
      <w:pPr>
        <w:spacing w:line="560" w:lineRule="exact"/>
        <w:ind w:firstLine="64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七、优秀组织奖</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优秀组织奖由竞赛组委会根据各市对赛事组织情况、参赛情况等综合因素进行评估打分，最终评选出六个单位颁发优秀组织奖奖牌。具体评比规则如下：</w:t>
      </w:r>
    </w:p>
    <w:tbl>
      <w:tblPr>
        <w:tblStyle w:val="28"/>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326"/>
        <w:gridCol w:w="817"/>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Align w:val="center"/>
          </w:tcPr>
          <w:p>
            <w:pPr>
              <w:spacing w:line="560" w:lineRule="exac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序号</w:t>
            </w:r>
          </w:p>
        </w:tc>
        <w:tc>
          <w:tcPr>
            <w:tcW w:w="2326"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评比内容</w:t>
            </w: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评分</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0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w:t>
            </w:r>
          </w:p>
        </w:tc>
        <w:tc>
          <w:tcPr>
            <w:tcW w:w="2326"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赛事组织情况</w:t>
            </w: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20</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各地区是否组织开展赛前辅导、地区选拔赛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restart"/>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w:t>
            </w:r>
          </w:p>
        </w:tc>
        <w:tc>
          <w:tcPr>
            <w:tcW w:w="2326" w:type="dxa"/>
            <w:vMerge w:val="restart"/>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参赛积极度</w:t>
            </w: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是否参加短片作品赛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2326"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是否参加任务挑战赛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2326"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是否参加创意编</w:t>
            </w:r>
            <w:bookmarkStart w:id="0" w:name="_GoBack"/>
            <w:bookmarkEnd w:id="0"/>
            <w:r>
              <w:rPr>
                <w:rFonts w:hint="eastAsia" w:ascii="仿宋_GB2312" w:hAnsi="仿宋_GB2312" w:eastAsia="仿宋_GB2312" w:cs="仿宋_GB2312"/>
                <w:color w:val="000000" w:themeColor="text1"/>
                <w:sz w:val="30"/>
                <w:szCs w:val="30"/>
                <w14:textFill>
                  <w14:solidFill>
                    <w14:schemeClr w14:val="tx1"/>
                  </w14:solidFill>
                </w14:textFill>
              </w:rPr>
              <w:t>程竞赛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2326"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是否参加空中足球竞技赛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2326"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是否参加科创嘉年华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2326" w:type="dxa"/>
            <w:vMerge w:val="continue"/>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p>
        </w:tc>
        <w:tc>
          <w:tcPr>
            <w:tcW w:w="817"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5</w:t>
            </w:r>
          </w:p>
        </w:tc>
        <w:tc>
          <w:tcPr>
            <w:tcW w:w="4660" w:type="dxa"/>
            <w:vAlign w:val="center"/>
          </w:tcPr>
          <w:p>
            <w:pPr>
              <w:spacing w:line="56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是否参加无人机陆空协同赛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w:t>
            </w:r>
          </w:p>
        </w:tc>
        <w:tc>
          <w:tcPr>
            <w:tcW w:w="2326"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尊重赛事、尊重裁判、遵守规则、服从管理</w:t>
            </w:r>
          </w:p>
        </w:tc>
        <w:tc>
          <w:tcPr>
            <w:tcW w:w="817"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20</w:t>
            </w:r>
          </w:p>
        </w:tc>
        <w:tc>
          <w:tcPr>
            <w:tcW w:w="4660"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各市参赛队伍在总决赛比赛中是否尊重赛事、尊重裁判、遵守规则、服从管理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07"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w:t>
            </w:r>
          </w:p>
        </w:tc>
        <w:tc>
          <w:tcPr>
            <w:tcW w:w="2326"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参赛队伍综合素质</w:t>
            </w:r>
          </w:p>
        </w:tc>
        <w:tc>
          <w:tcPr>
            <w:tcW w:w="817"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30</w:t>
            </w:r>
          </w:p>
        </w:tc>
        <w:tc>
          <w:tcPr>
            <w:tcW w:w="4660" w:type="dxa"/>
            <w:vAlign w:val="center"/>
          </w:tcPr>
          <w:p>
            <w:pPr>
              <w:spacing w:line="400" w:lineRule="exact"/>
              <w:jc w:val="cente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各市参赛队伍在总决赛比赛中的整体表现情况</w:t>
            </w:r>
          </w:p>
        </w:tc>
      </w:tr>
    </w:tbl>
    <w:p>
      <w:pPr>
        <w:rPr>
          <w:rFonts w:ascii="仿宋_GB2312" w:hAnsi="仿宋_GB2312" w:eastAsia="仿宋_GB2312" w:cs="仿宋_GB2312"/>
          <w:bCs/>
          <w:color w:val="000000" w:themeColor="text1"/>
          <w:sz w:val="32"/>
          <w:szCs w:val="32"/>
          <w:shd w:val="clear" w:color="000000" w:fill="auto"/>
          <w14:textFill>
            <w14:solidFill>
              <w14:schemeClr w14:val="tx1"/>
            </w14:solidFill>
          </w14:textFill>
        </w:rPr>
      </w:pPr>
    </w:p>
    <w:sectPr>
      <w:pgSz w:w="11906" w:h="16838"/>
      <w:pgMar w:top="1440" w:right="1378"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32E"/>
    <w:rsid w:val="00020FF5"/>
    <w:rsid w:val="00035CE7"/>
    <w:rsid w:val="00037714"/>
    <w:rsid w:val="00053262"/>
    <w:rsid w:val="000603D7"/>
    <w:rsid w:val="000623A0"/>
    <w:rsid w:val="00066AF8"/>
    <w:rsid w:val="00071CB4"/>
    <w:rsid w:val="000750AD"/>
    <w:rsid w:val="000827A3"/>
    <w:rsid w:val="000839CB"/>
    <w:rsid w:val="00084031"/>
    <w:rsid w:val="000A0F72"/>
    <w:rsid w:val="000B02A6"/>
    <w:rsid w:val="000C1EFB"/>
    <w:rsid w:val="000C7836"/>
    <w:rsid w:val="000D1659"/>
    <w:rsid w:val="000E334B"/>
    <w:rsid w:val="000F40D4"/>
    <w:rsid w:val="000F65B2"/>
    <w:rsid w:val="001010DB"/>
    <w:rsid w:val="00110C3D"/>
    <w:rsid w:val="00120AA8"/>
    <w:rsid w:val="00122293"/>
    <w:rsid w:val="001238CD"/>
    <w:rsid w:val="0012436A"/>
    <w:rsid w:val="001303CF"/>
    <w:rsid w:val="001311AB"/>
    <w:rsid w:val="00142EDC"/>
    <w:rsid w:val="001648AF"/>
    <w:rsid w:val="00164CA1"/>
    <w:rsid w:val="00183B42"/>
    <w:rsid w:val="00187A06"/>
    <w:rsid w:val="001A3616"/>
    <w:rsid w:val="001C2D55"/>
    <w:rsid w:val="001D4C6E"/>
    <w:rsid w:val="001D7900"/>
    <w:rsid w:val="001E0245"/>
    <w:rsid w:val="001E6FCA"/>
    <w:rsid w:val="001E7F79"/>
    <w:rsid w:val="0020377D"/>
    <w:rsid w:val="00203FCE"/>
    <w:rsid w:val="0021159F"/>
    <w:rsid w:val="00211644"/>
    <w:rsid w:val="0022214E"/>
    <w:rsid w:val="00223544"/>
    <w:rsid w:val="00226B76"/>
    <w:rsid w:val="002455D2"/>
    <w:rsid w:val="00250244"/>
    <w:rsid w:val="00250F5F"/>
    <w:rsid w:val="00252B09"/>
    <w:rsid w:val="00255AC1"/>
    <w:rsid w:val="00256937"/>
    <w:rsid w:val="00262805"/>
    <w:rsid w:val="00266958"/>
    <w:rsid w:val="00297093"/>
    <w:rsid w:val="002A0802"/>
    <w:rsid w:val="002A2251"/>
    <w:rsid w:val="002A6E76"/>
    <w:rsid w:val="002C1035"/>
    <w:rsid w:val="002C199B"/>
    <w:rsid w:val="002C200B"/>
    <w:rsid w:val="002C48F1"/>
    <w:rsid w:val="002D067A"/>
    <w:rsid w:val="002D3600"/>
    <w:rsid w:val="002D5AF9"/>
    <w:rsid w:val="002E09E2"/>
    <w:rsid w:val="002E136C"/>
    <w:rsid w:val="002E488A"/>
    <w:rsid w:val="002E596B"/>
    <w:rsid w:val="002F1716"/>
    <w:rsid w:val="003143C0"/>
    <w:rsid w:val="00316B6D"/>
    <w:rsid w:val="00333D73"/>
    <w:rsid w:val="003344C3"/>
    <w:rsid w:val="00335654"/>
    <w:rsid w:val="0034222D"/>
    <w:rsid w:val="003508FE"/>
    <w:rsid w:val="003632BA"/>
    <w:rsid w:val="00363C56"/>
    <w:rsid w:val="00367D37"/>
    <w:rsid w:val="00371950"/>
    <w:rsid w:val="003765A6"/>
    <w:rsid w:val="00384F05"/>
    <w:rsid w:val="003A1179"/>
    <w:rsid w:val="003A6A38"/>
    <w:rsid w:val="003A7D24"/>
    <w:rsid w:val="003B5235"/>
    <w:rsid w:val="003C3D7C"/>
    <w:rsid w:val="00403F04"/>
    <w:rsid w:val="00410D7C"/>
    <w:rsid w:val="00411631"/>
    <w:rsid w:val="00413796"/>
    <w:rsid w:val="004215B8"/>
    <w:rsid w:val="00424C0A"/>
    <w:rsid w:val="00430B6F"/>
    <w:rsid w:val="00432A92"/>
    <w:rsid w:val="00434BD9"/>
    <w:rsid w:val="00470812"/>
    <w:rsid w:val="0047317D"/>
    <w:rsid w:val="00473A95"/>
    <w:rsid w:val="00497CEE"/>
    <w:rsid w:val="004A2733"/>
    <w:rsid w:val="004A2D80"/>
    <w:rsid w:val="004B7B78"/>
    <w:rsid w:val="004C1302"/>
    <w:rsid w:val="004C552F"/>
    <w:rsid w:val="004D2008"/>
    <w:rsid w:val="004F71A6"/>
    <w:rsid w:val="00500896"/>
    <w:rsid w:val="005127B8"/>
    <w:rsid w:val="00515F35"/>
    <w:rsid w:val="00516721"/>
    <w:rsid w:val="0052110C"/>
    <w:rsid w:val="00522507"/>
    <w:rsid w:val="00525145"/>
    <w:rsid w:val="00530548"/>
    <w:rsid w:val="00536C0F"/>
    <w:rsid w:val="00540686"/>
    <w:rsid w:val="005478CA"/>
    <w:rsid w:val="00550F9E"/>
    <w:rsid w:val="00561C0F"/>
    <w:rsid w:val="0057196A"/>
    <w:rsid w:val="005748BF"/>
    <w:rsid w:val="0057507C"/>
    <w:rsid w:val="00580657"/>
    <w:rsid w:val="005B73BE"/>
    <w:rsid w:val="005D091B"/>
    <w:rsid w:val="005D0F08"/>
    <w:rsid w:val="005D4118"/>
    <w:rsid w:val="005F0AEB"/>
    <w:rsid w:val="0060212F"/>
    <w:rsid w:val="00606444"/>
    <w:rsid w:val="00612295"/>
    <w:rsid w:val="00614B11"/>
    <w:rsid w:val="006162FD"/>
    <w:rsid w:val="00624E1E"/>
    <w:rsid w:val="0063650D"/>
    <w:rsid w:val="00640CDC"/>
    <w:rsid w:val="00646DEA"/>
    <w:rsid w:val="00647046"/>
    <w:rsid w:val="0065621A"/>
    <w:rsid w:val="00656356"/>
    <w:rsid w:val="00666D53"/>
    <w:rsid w:val="00670B21"/>
    <w:rsid w:val="00680AD4"/>
    <w:rsid w:val="006820F9"/>
    <w:rsid w:val="00683C2B"/>
    <w:rsid w:val="00685946"/>
    <w:rsid w:val="00687B59"/>
    <w:rsid w:val="00692388"/>
    <w:rsid w:val="00693932"/>
    <w:rsid w:val="00696990"/>
    <w:rsid w:val="006A006E"/>
    <w:rsid w:val="006B0291"/>
    <w:rsid w:val="006B357B"/>
    <w:rsid w:val="006C10F1"/>
    <w:rsid w:val="006C2F1B"/>
    <w:rsid w:val="006C6203"/>
    <w:rsid w:val="006D5C5E"/>
    <w:rsid w:val="006D6E7F"/>
    <w:rsid w:val="006F5E3C"/>
    <w:rsid w:val="006F67AF"/>
    <w:rsid w:val="006F78D7"/>
    <w:rsid w:val="00706E2A"/>
    <w:rsid w:val="007130B8"/>
    <w:rsid w:val="0071775E"/>
    <w:rsid w:val="007426D1"/>
    <w:rsid w:val="0075125A"/>
    <w:rsid w:val="00755BB1"/>
    <w:rsid w:val="00761825"/>
    <w:rsid w:val="00765CF8"/>
    <w:rsid w:val="00771707"/>
    <w:rsid w:val="0077254B"/>
    <w:rsid w:val="00786F1C"/>
    <w:rsid w:val="007931EC"/>
    <w:rsid w:val="007A272C"/>
    <w:rsid w:val="007A3742"/>
    <w:rsid w:val="007B5FD2"/>
    <w:rsid w:val="007C3A94"/>
    <w:rsid w:val="007C585A"/>
    <w:rsid w:val="007D3835"/>
    <w:rsid w:val="007E5EDE"/>
    <w:rsid w:val="007F49EF"/>
    <w:rsid w:val="007F6C75"/>
    <w:rsid w:val="00804C6C"/>
    <w:rsid w:val="0081421E"/>
    <w:rsid w:val="00822914"/>
    <w:rsid w:val="00824909"/>
    <w:rsid w:val="0082607C"/>
    <w:rsid w:val="00844052"/>
    <w:rsid w:val="00856610"/>
    <w:rsid w:val="00866153"/>
    <w:rsid w:val="00881C9B"/>
    <w:rsid w:val="00891DC3"/>
    <w:rsid w:val="008A5F66"/>
    <w:rsid w:val="008B3FB2"/>
    <w:rsid w:val="008C715A"/>
    <w:rsid w:val="008D48D2"/>
    <w:rsid w:val="008D54E2"/>
    <w:rsid w:val="008E7858"/>
    <w:rsid w:val="008E7B03"/>
    <w:rsid w:val="008F6C24"/>
    <w:rsid w:val="008F73D0"/>
    <w:rsid w:val="008F7C37"/>
    <w:rsid w:val="009013CB"/>
    <w:rsid w:val="0090661E"/>
    <w:rsid w:val="00925CED"/>
    <w:rsid w:val="00925F48"/>
    <w:rsid w:val="009260D2"/>
    <w:rsid w:val="009419DC"/>
    <w:rsid w:val="009447F6"/>
    <w:rsid w:val="0095164C"/>
    <w:rsid w:val="00951C56"/>
    <w:rsid w:val="00952144"/>
    <w:rsid w:val="00960E3E"/>
    <w:rsid w:val="00971164"/>
    <w:rsid w:val="00977B04"/>
    <w:rsid w:val="00982C2C"/>
    <w:rsid w:val="00987947"/>
    <w:rsid w:val="00996603"/>
    <w:rsid w:val="009D0116"/>
    <w:rsid w:val="009D1235"/>
    <w:rsid w:val="009E0D02"/>
    <w:rsid w:val="009E41B9"/>
    <w:rsid w:val="009E5E37"/>
    <w:rsid w:val="00A063CC"/>
    <w:rsid w:val="00A130A9"/>
    <w:rsid w:val="00A21030"/>
    <w:rsid w:val="00A24DF3"/>
    <w:rsid w:val="00A250D8"/>
    <w:rsid w:val="00A341CF"/>
    <w:rsid w:val="00A34479"/>
    <w:rsid w:val="00A411BF"/>
    <w:rsid w:val="00A433A5"/>
    <w:rsid w:val="00A56562"/>
    <w:rsid w:val="00A65385"/>
    <w:rsid w:val="00A65ECA"/>
    <w:rsid w:val="00A668C3"/>
    <w:rsid w:val="00A76BBE"/>
    <w:rsid w:val="00A86B46"/>
    <w:rsid w:val="00A9663B"/>
    <w:rsid w:val="00AA0683"/>
    <w:rsid w:val="00AC7203"/>
    <w:rsid w:val="00AE48F6"/>
    <w:rsid w:val="00AE52BB"/>
    <w:rsid w:val="00B2102F"/>
    <w:rsid w:val="00B236A1"/>
    <w:rsid w:val="00B26039"/>
    <w:rsid w:val="00B43EE8"/>
    <w:rsid w:val="00B50DDA"/>
    <w:rsid w:val="00B52CB4"/>
    <w:rsid w:val="00B5333C"/>
    <w:rsid w:val="00B55A68"/>
    <w:rsid w:val="00B561C2"/>
    <w:rsid w:val="00B60E66"/>
    <w:rsid w:val="00B80346"/>
    <w:rsid w:val="00B858D8"/>
    <w:rsid w:val="00B87071"/>
    <w:rsid w:val="00B97B14"/>
    <w:rsid w:val="00BB5527"/>
    <w:rsid w:val="00BB76DA"/>
    <w:rsid w:val="00BD739A"/>
    <w:rsid w:val="00BE035C"/>
    <w:rsid w:val="00BE0391"/>
    <w:rsid w:val="00BE72D2"/>
    <w:rsid w:val="00C01DC6"/>
    <w:rsid w:val="00C076D0"/>
    <w:rsid w:val="00C118EB"/>
    <w:rsid w:val="00C137EC"/>
    <w:rsid w:val="00C15241"/>
    <w:rsid w:val="00C56CD6"/>
    <w:rsid w:val="00C731AD"/>
    <w:rsid w:val="00C821C9"/>
    <w:rsid w:val="00C86F83"/>
    <w:rsid w:val="00C95337"/>
    <w:rsid w:val="00CA166C"/>
    <w:rsid w:val="00CA578C"/>
    <w:rsid w:val="00CB44CA"/>
    <w:rsid w:val="00CC34B8"/>
    <w:rsid w:val="00CC4CDA"/>
    <w:rsid w:val="00CD1E9A"/>
    <w:rsid w:val="00CD598A"/>
    <w:rsid w:val="00CE0630"/>
    <w:rsid w:val="00CE0A3A"/>
    <w:rsid w:val="00D00D9B"/>
    <w:rsid w:val="00D01B40"/>
    <w:rsid w:val="00D2797F"/>
    <w:rsid w:val="00D4146F"/>
    <w:rsid w:val="00D7088E"/>
    <w:rsid w:val="00D81C3F"/>
    <w:rsid w:val="00DA23D0"/>
    <w:rsid w:val="00DB2B5C"/>
    <w:rsid w:val="00DB3B4B"/>
    <w:rsid w:val="00DC24B1"/>
    <w:rsid w:val="00DD4ABF"/>
    <w:rsid w:val="00DE52CF"/>
    <w:rsid w:val="00DE7368"/>
    <w:rsid w:val="00DF5452"/>
    <w:rsid w:val="00DF7804"/>
    <w:rsid w:val="00E046CF"/>
    <w:rsid w:val="00E14A1A"/>
    <w:rsid w:val="00E207BD"/>
    <w:rsid w:val="00E208FB"/>
    <w:rsid w:val="00E20B90"/>
    <w:rsid w:val="00E40565"/>
    <w:rsid w:val="00E40D6C"/>
    <w:rsid w:val="00E43E71"/>
    <w:rsid w:val="00E51E43"/>
    <w:rsid w:val="00E54D8D"/>
    <w:rsid w:val="00E73ACA"/>
    <w:rsid w:val="00E8058F"/>
    <w:rsid w:val="00E85F40"/>
    <w:rsid w:val="00E87A08"/>
    <w:rsid w:val="00E92BF6"/>
    <w:rsid w:val="00E97D7B"/>
    <w:rsid w:val="00EB2B06"/>
    <w:rsid w:val="00EC7F44"/>
    <w:rsid w:val="00EE28CF"/>
    <w:rsid w:val="00EE4389"/>
    <w:rsid w:val="00EE4559"/>
    <w:rsid w:val="00EF5BF2"/>
    <w:rsid w:val="00F010D9"/>
    <w:rsid w:val="00F1030A"/>
    <w:rsid w:val="00F11C92"/>
    <w:rsid w:val="00F12CA2"/>
    <w:rsid w:val="00F13DA3"/>
    <w:rsid w:val="00F149F8"/>
    <w:rsid w:val="00F25FB9"/>
    <w:rsid w:val="00F368D1"/>
    <w:rsid w:val="00F47F89"/>
    <w:rsid w:val="00F548AE"/>
    <w:rsid w:val="00F842F7"/>
    <w:rsid w:val="00F8586B"/>
    <w:rsid w:val="00F9197D"/>
    <w:rsid w:val="00F96190"/>
    <w:rsid w:val="00FB1474"/>
    <w:rsid w:val="00FB1E75"/>
    <w:rsid w:val="00FB31FB"/>
    <w:rsid w:val="00FB7CC7"/>
    <w:rsid w:val="00FC023C"/>
    <w:rsid w:val="00FC032E"/>
    <w:rsid w:val="00FC1474"/>
    <w:rsid w:val="00FC2E6A"/>
    <w:rsid w:val="00FE0261"/>
    <w:rsid w:val="00FF2AE6"/>
    <w:rsid w:val="02934D4A"/>
    <w:rsid w:val="03286F86"/>
    <w:rsid w:val="036C3ADD"/>
    <w:rsid w:val="052C6D64"/>
    <w:rsid w:val="05C22EB9"/>
    <w:rsid w:val="062F5765"/>
    <w:rsid w:val="062F7190"/>
    <w:rsid w:val="063E04DE"/>
    <w:rsid w:val="06795CF5"/>
    <w:rsid w:val="074567F3"/>
    <w:rsid w:val="07A842B8"/>
    <w:rsid w:val="07F07E50"/>
    <w:rsid w:val="07F733C3"/>
    <w:rsid w:val="07FC4F7D"/>
    <w:rsid w:val="084D7EBB"/>
    <w:rsid w:val="0872679F"/>
    <w:rsid w:val="08797562"/>
    <w:rsid w:val="08B93A97"/>
    <w:rsid w:val="092D5EC0"/>
    <w:rsid w:val="096D5A2C"/>
    <w:rsid w:val="0A450BB4"/>
    <w:rsid w:val="0A5B0E55"/>
    <w:rsid w:val="0BAB2F19"/>
    <w:rsid w:val="0BE27BC6"/>
    <w:rsid w:val="0C1C410C"/>
    <w:rsid w:val="0C543BE3"/>
    <w:rsid w:val="0D2032C2"/>
    <w:rsid w:val="0D3C41E6"/>
    <w:rsid w:val="0D4A4E66"/>
    <w:rsid w:val="0D616CB1"/>
    <w:rsid w:val="0E6433E6"/>
    <w:rsid w:val="0E871C73"/>
    <w:rsid w:val="0ECB7FE7"/>
    <w:rsid w:val="0F345F8C"/>
    <w:rsid w:val="0F881DD8"/>
    <w:rsid w:val="10013031"/>
    <w:rsid w:val="10713D3F"/>
    <w:rsid w:val="108C5B77"/>
    <w:rsid w:val="10C2646D"/>
    <w:rsid w:val="111D6FA4"/>
    <w:rsid w:val="11431BA0"/>
    <w:rsid w:val="11AB45E7"/>
    <w:rsid w:val="12680092"/>
    <w:rsid w:val="13344467"/>
    <w:rsid w:val="13D846AF"/>
    <w:rsid w:val="13FF0F39"/>
    <w:rsid w:val="14183561"/>
    <w:rsid w:val="142B6300"/>
    <w:rsid w:val="1484173D"/>
    <w:rsid w:val="15971FD9"/>
    <w:rsid w:val="15D53350"/>
    <w:rsid w:val="15FE21C7"/>
    <w:rsid w:val="17051332"/>
    <w:rsid w:val="17602944"/>
    <w:rsid w:val="17622D89"/>
    <w:rsid w:val="17921D11"/>
    <w:rsid w:val="180E083D"/>
    <w:rsid w:val="18105D08"/>
    <w:rsid w:val="18194396"/>
    <w:rsid w:val="18356DB3"/>
    <w:rsid w:val="18B774F4"/>
    <w:rsid w:val="19687547"/>
    <w:rsid w:val="196B68AC"/>
    <w:rsid w:val="19AC41E2"/>
    <w:rsid w:val="1A0D44D6"/>
    <w:rsid w:val="1A2A43CA"/>
    <w:rsid w:val="1A376859"/>
    <w:rsid w:val="1AEC25FF"/>
    <w:rsid w:val="1B7D757F"/>
    <w:rsid w:val="1C165578"/>
    <w:rsid w:val="1D364FE0"/>
    <w:rsid w:val="1D921F35"/>
    <w:rsid w:val="1DCF763C"/>
    <w:rsid w:val="1ED7420E"/>
    <w:rsid w:val="1EE058FA"/>
    <w:rsid w:val="1EE677DB"/>
    <w:rsid w:val="204D788C"/>
    <w:rsid w:val="21296F54"/>
    <w:rsid w:val="21760675"/>
    <w:rsid w:val="229E3053"/>
    <w:rsid w:val="22A9720E"/>
    <w:rsid w:val="22E210B1"/>
    <w:rsid w:val="240615B4"/>
    <w:rsid w:val="245D328E"/>
    <w:rsid w:val="24741728"/>
    <w:rsid w:val="24836041"/>
    <w:rsid w:val="265A4050"/>
    <w:rsid w:val="26AA6C56"/>
    <w:rsid w:val="26AD7A61"/>
    <w:rsid w:val="26AE3200"/>
    <w:rsid w:val="26F27CF8"/>
    <w:rsid w:val="286D3537"/>
    <w:rsid w:val="28D53814"/>
    <w:rsid w:val="2A7E45C0"/>
    <w:rsid w:val="2AC87EA7"/>
    <w:rsid w:val="2B697A13"/>
    <w:rsid w:val="2BEC35E8"/>
    <w:rsid w:val="2C01292B"/>
    <w:rsid w:val="2C0249D2"/>
    <w:rsid w:val="2C343908"/>
    <w:rsid w:val="2CBA6337"/>
    <w:rsid w:val="2CC603E5"/>
    <w:rsid w:val="2CEE602A"/>
    <w:rsid w:val="2D074312"/>
    <w:rsid w:val="2D0A5C82"/>
    <w:rsid w:val="2D120C35"/>
    <w:rsid w:val="2D7E7437"/>
    <w:rsid w:val="2D916799"/>
    <w:rsid w:val="2ED7241B"/>
    <w:rsid w:val="30216D9D"/>
    <w:rsid w:val="31234449"/>
    <w:rsid w:val="31552CFC"/>
    <w:rsid w:val="32342508"/>
    <w:rsid w:val="32844A69"/>
    <w:rsid w:val="32A84FDB"/>
    <w:rsid w:val="32B90B4A"/>
    <w:rsid w:val="32F3142F"/>
    <w:rsid w:val="336555BA"/>
    <w:rsid w:val="3396408A"/>
    <w:rsid w:val="33FF4894"/>
    <w:rsid w:val="34AB74B1"/>
    <w:rsid w:val="35660AEC"/>
    <w:rsid w:val="36025DE9"/>
    <w:rsid w:val="361431C0"/>
    <w:rsid w:val="364746BD"/>
    <w:rsid w:val="367A55CA"/>
    <w:rsid w:val="36CA6C77"/>
    <w:rsid w:val="37AC3D87"/>
    <w:rsid w:val="37C34C2C"/>
    <w:rsid w:val="37CB0683"/>
    <w:rsid w:val="380E32D8"/>
    <w:rsid w:val="38325206"/>
    <w:rsid w:val="38C46D96"/>
    <w:rsid w:val="38F3184C"/>
    <w:rsid w:val="39F06FEB"/>
    <w:rsid w:val="3A516B54"/>
    <w:rsid w:val="3ACF71D2"/>
    <w:rsid w:val="3B333429"/>
    <w:rsid w:val="3BFA61FB"/>
    <w:rsid w:val="3C073B2E"/>
    <w:rsid w:val="3C4F0D1E"/>
    <w:rsid w:val="3C8C46F2"/>
    <w:rsid w:val="3CC676C6"/>
    <w:rsid w:val="3D223C32"/>
    <w:rsid w:val="3D4E78C3"/>
    <w:rsid w:val="3D742C3A"/>
    <w:rsid w:val="3E0D7B1A"/>
    <w:rsid w:val="3E452432"/>
    <w:rsid w:val="3E8908D8"/>
    <w:rsid w:val="3F22250D"/>
    <w:rsid w:val="3F5C2229"/>
    <w:rsid w:val="3FB750FD"/>
    <w:rsid w:val="3FCC647A"/>
    <w:rsid w:val="409F15E2"/>
    <w:rsid w:val="40E71655"/>
    <w:rsid w:val="410B5CCD"/>
    <w:rsid w:val="41684607"/>
    <w:rsid w:val="41B96605"/>
    <w:rsid w:val="424E1B87"/>
    <w:rsid w:val="42B90B29"/>
    <w:rsid w:val="44425428"/>
    <w:rsid w:val="45B922CD"/>
    <w:rsid w:val="462A62E8"/>
    <w:rsid w:val="46C50031"/>
    <w:rsid w:val="46D90E80"/>
    <w:rsid w:val="4722468C"/>
    <w:rsid w:val="47557FC9"/>
    <w:rsid w:val="48192EF1"/>
    <w:rsid w:val="482A1C89"/>
    <w:rsid w:val="484841B9"/>
    <w:rsid w:val="486B7EF7"/>
    <w:rsid w:val="48DE3FBA"/>
    <w:rsid w:val="497401F2"/>
    <w:rsid w:val="4A1156B6"/>
    <w:rsid w:val="4A321763"/>
    <w:rsid w:val="4A4C78E3"/>
    <w:rsid w:val="4AC77306"/>
    <w:rsid w:val="4AFF3215"/>
    <w:rsid w:val="4B27668E"/>
    <w:rsid w:val="4BD34083"/>
    <w:rsid w:val="4C9C0F16"/>
    <w:rsid w:val="4D701D14"/>
    <w:rsid w:val="4DE02DA6"/>
    <w:rsid w:val="4E1D688A"/>
    <w:rsid w:val="4E9405DA"/>
    <w:rsid w:val="4EAA76A7"/>
    <w:rsid w:val="4EB5467F"/>
    <w:rsid w:val="4ED62190"/>
    <w:rsid w:val="4EE04C18"/>
    <w:rsid w:val="4EFF67F0"/>
    <w:rsid w:val="4F371EDE"/>
    <w:rsid w:val="4F4034C4"/>
    <w:rsid w:val="4FCE17A2"/>
    <w:rsid w:val="4FEF7CCE"/>
    <w:rsid w:val="50714D6E"/>
    <w:rsid w:val="50787122"/>
    <w:rsid w:val="50885132"/>
    <w:rsid w:val="51806D32"/>
    <w:rsid w:val="51CB4282"/>
    <w:rsid w:val="527546CF"/>
    <w:rsid w:val="52D44C7A"/>
    <w:rsid w:val="53064FB0"/>
    <w:rsid w:val="539B1F51"/>
    <w:rsid w:val="53B24736"/>
    <w:rsid w:val="54132F56"/>
    <w:rsid w:val="54752EE1"/>
    <w:rsid w:val="547B3B9F"/>
    <w:rsid w:val="54A254C1"/>
    <w:rsid w:val="54CF09E6"/>
    <w:rsid w:val="55F312E5"/>
    <w:rsid w:val="56007B94"/>
    <w:rsid w:val="563E7055"/>
    <w:rsid w:val="58347A93"/>
    <w:rsid w:val="59532A8F"/>
    <w:rsid w:val="59546978"/>
    <w:rsid w:val="599A4A0E"/>
    <w:rsid w:val="59C91998"/>
    <w:rsid w:val="59DE1E55"/>
    <w:rsid w:val="5A150BE4"/>
    <w:rsid w:val="5AF833BD"/>
    <w:rsid w:val="5AFC733E"/>
    <w:rsid w:val="5B494230"/>
    <w:rsid w:val="5B5E2E6B"/>
    <w:rsid w:val="5B7A01D8"/>
    <w:rsid w:val="5B93386B"/>
    <w:rsid w:val="5BB14CCE"/>
    <w:rsid w:val="5BCA0253"/>
    <w:rsid w:val="5BF074C4"/>
    <w:rsid w:val="5C183EC9"/>
    <w:rsid w:val="5CFA6935"/>
    <w:rsid w:val="5D28718E"/>
    <w:rsid w:val="5D6675BB"/>
    <w:rsid w:val="5DE52F87"/>
    <w:rsid w:val="5E610911"/>
    <w:rsid w:val="5E6E3774"/>
    <w:rsid w:val="5F2B0280"/>
    <w:rsid w:val="5F356D1A"/>
    <w:rsid w:val="5F5D65CB"/>
    <w:rsid w:val="5F6B000D"/>
    <w:rsid w:val="5FDF69DB"/>
    <w:rsid w:val="60441F7C"/>
    <w:rsid w:val="61177C06"/>
    <w:rsid w:val="61774CB2"/>
    <w:rsid w:val="61DA0282"/>
    <w:rsid w:val="621C2845"/>
    <w:rsid w:val="62E2488C"/>
    <w:rsid w:val="63C63000"/>
    <w:rsid w:val="64067E81"/>
    <w:rsid w:val="64333C9C"/>
    <w:rsid w:val="6552309F"/>
    <w:rsid w:val="66033BA3"/>
    <w:rsid w:val="660C27D7"/>
    <w:rsid w:val="6680403B"/>
    <w:rsid w:val="66BE6C53"/>
    <w:rsid w:val="66BF739E"/>
    <w:rsid w:val="66D8392B"/>
    <w:rsid w:val="67F15895"/>
    <w:rsid w:val="681F1A06"/>
    <w:rsid w:val="68475B3F"/>
    <w:rsid w:val="69A61B79"/>
    <w:rsid w:val="6A551D85"/>
    <w:rsid w:val="6ADE2E97"/>
    <w:rsid w:val="6AFD06B3"/>
    <w:rsid w:val="6B476E46"/>
    <w:rsid w:val="6B8E465B"/>
    <w:rsid w:val="6BC60F83"/>
    <w:rsid w:val="6BDE5BB4"/>
    <w:rsid w:val="6BF00A7D"/>
    <w:rsid w:val="6BF10BD1"/>
    <w:rsid w:val="6C170E08"/>
    <w:rsid w:val="6CAE4A2B"/>
    <w:rsid w:val="6CCD7350"/>
    <w:rsid w:val="6CFC6F4F"/>
    <w:rsid w:val="6D182B13"/>
    <w:rsid w:val="6D7B4477"/>
    <w:rsid w:val="6DC134B1"/>
    <w:rsid w:val="6E9E7C2B"/>
    <w:rsid w:val="6F611081"/>
    <w:rsid w:val="6F6D6833"/>
    <w:rsid w:val="72C937FB"/>
    <w:rsid w:val="72EA38F1"/>
    <w:rsid w:val="73155294"/>
    <w:rsid w:val="73163FE3"/>
    <w:rsid w:val="73C4294B"/>
    <w:rsid w:val="73CD3ECF"/>
    <w:rsid w:val="740758E9"/>
    <w:rsid w:val="741654CB"/>
    <w:rsid w:val="7446690F"/>
    <w:rsid w:val="753473F7"/>
    <w:rsid w:val="7650107D"/>
    <w:rsid w:val="767C34E6"/>
    <w:rsid w:val="772D7104"/>
    <w:rsid w:val="77AD167B"/>
    <w:rsid w:val="78CC32A5"/>
    <w:rsid w:val="7A3D793F"/>
    <w:rsid w:val="7A4364D0"/>
    <w:rsid w:val="7A787425"/>
    <w:rsid w:val="7A96130A"/>
    <w:rsid w:val="7A9C273E"/>
    <w:rsid w:val="7AAA7E36"/>
    <w:rsid w:val="7B172DC1"/>
    <w:rsid w:val="7B322C07"/>
    <w:rsid w:val="7B3512D5"/>
    <w:rsid w:val="7BD6007D"/>
    <w:rsid w:val="7C612C56"/>
    <w:rsid w:val="7C8A7072"/>
    <w:rsid w:val="7CEA5ECF"/>
    <w:rsid w:val="7D8D13C5"/>
    <w:rsid w:val="7E3C3E2B"/>
    <w:rsid w:val="7E641380"/>
    <w:rsid w:val="7E6F6FA9"/>
    <w:rsid w:val="7E8A3F8C"/>
    <w:rsid w:val="7F5D2E21"/>
    <w:rsid w:val="7F8D5F6A"/>
    <w:rsid w:val="7FFA1BA2"/>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28" w:semiHidden="0" w:name="toc 1"/>
    <w:lsdException w:qFormat="1" w:unhideWhenUsed="0" w:uiPriority="29" w:semiHidden="0" w:name="toc 2"/>
    <w:lsdException w:qFormat="1" w:unhideWhenUsed="0" w:uiPriority="30" w:semiHidden="0" w:name="toc 3"/>
    <w:lsdException w:qFormat="1" w:unhideWhenUsed="0" w:uiPriority="31" w:semiHidden="0" w:name="toc 4"/>
    <w:lsdException w:qFormat="1" w:unhideWhenUsed="0" w:uiPriority="32" w:semiHidden="0" w:name="toc 5"/>
    <w:lsdException w:qFormat="1" w:unhideWhenUsed="0" w:uiPriority="33" w:semiHidden="0" w:name="toc 6"/>
    <w:lsdException w:qFormat="1" w:unhideWhenUsed="0" w:uiPriority="34" w:semiHidden="0" w:name="toc 7"/>
    <w:lsdException w:qFormat="1" w:unhideWhenUsed="0" w:uiPriority="35" w:semiHidden="0" w:name="toc 8"/>
    <w:lsdException w:qFormat="1" w:unhideWhenUsed="0" w:uiPriority="36"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0" w:semiHidden="0" w:name="Strong"/>
    <w:lsdException w:qFormat="1" w:unhideWhenUsed="0" w:uiPriority="18"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8"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Times New Roman" w:cs="宋体"/>
      <w:sz w:val="21"/>
      <w:szCs w:val="21"/>
      <w:lang w:val="en-US" w:eastAsia="zh-CN" w:bidi="ar-SA"/>
    </w:rPr>
  </w:style>
  <w:style w:type="paragraph" w:styleId="2">
    <w:name w:val="heading 1"/>
    <w:basedOn w:val="1"/>
    <w:next w:val="1"/>
    <w:link w:val="53"/>
    <w:qFormat/>
    <w:uiPriority w:val="9"/>
    <w:pPr>
      <w:keepNext/>
      <w:keepLines/>
      <w:outlineLvl w:val="0"/>
    </w:pPr>
    <w:rPr>
      <w:rFonts w:ascii="Calibri" w:hAnsi="Calibri" w:eastAsia="宋体"/>
      <w:b/>
      <w:sz w:val="44"/>
      <w:szCs w:val="44"/>
    </w:rPr>
  </w:style>
  <w:style w:type="paragraph" w:styleId="3">
    <w:name w:val="heading 2"/>
    <w:next w:val="1"/>
    <w:semiHidden/>
    <w:unhideWhenUsed/>
    <w:qFormat/>
    <w:uiPriority w:val="9"/>
    <w:pPr>
      <w:jc w:val="both"/>
      <w:outlineLvl w:val="1"/>
    </w:pPr>
    <w:rPr>
      <w:rFonts w:ascii="Calibri" w:hAnsi="Calibri" w:eastAsia="Times New Roman" w:cs="宋体"/>
      <w:sz w:val="21"/>
      <w:szCs w:val="21"/>
      <w:lang w:val="en-US" w:eastAsia="zh-CN" w:bidi="ar-SA"/>
    </w:rPr>
  </w:style>
  <w:style w:type="paragraph" w:styleId="4">
    <w:name w:val="heading 3"/>
    <w:next w:val="1"/>
    <w:semiHidden/>
    <w:unhideWhenUsed/>
    <w:qFormat/>
    <w:uiPriority w:val="9"/>
    <w:pPr>
      <w:ind w:left="1000" w:hanging="400"/>
      <w:jc w:val="both"/>
      <w:outlineLvl w:val="2"/>
    </w:pPr>
    <w:rPr>
      <w:rFonts w:ascii="Calibri" w:hAnsi="Calibri" w:eastAsia="Times New Roman" w:cs="宋体"/>
      <w:sz w:val="21"/>
      <w:szCs w:val="21"/>
      <w:lang w:val="en-US" w:eastAsia="zh-CN" w:bidi="ar-SA"/>
    </w:rPr>
  </w:style>
  <w:style w:type="paragraph" w:styleId="5">
    <w:name w:val="heading 4"/>
    <w:next w:val="1"/>
    <w:semiHidden/>
    <w:unhideWhenUsed/>
    <w:qFormat/>
    <w:uiPriority w:val="9"/>
    <w:pPr>
      <w:ind w:left="1200" w:hanging="400"/>
      <w:jc w:val="both"/>
      <w:outlineLvl w:val="3"/>
    </w:pPr>
    <w:rPr>
      <w:rFonts w:ascii="Calibri" w:hAnsi="Calibri" w:eastAsia="Times New Roman" w:cs="宋体"/>
      <w:b/>
      <w:sz w:val="21"/>
      <w:szCs w:val="21"/>
      <w:lang w:val="en-US" w:eastAsia="zh-CN" w:bidi="ar-SA"/>
    </w:rPr>
  </w:style>
  <w:style w:type="paragraph" w:styleId="6">
    <w:name w:val="heading 5"/>
    <w:next w:val="1"/>
    <w:semiHidden/>
    <w:unhideWhenUsed/>
    <w:qFormat/>
    <w:uiPriority w:val="9"/>
    <w:pPr>
      <w:ind w:left="1400" w:hanging="400"/>
      <w:jc w:val="both"/>
      <w:outlineLvl w:val="4"/>
    </w:pPr>
    <w:rPr>
      <w:rFonts w:ascii="Calibri" w:hAnsi="Calibri" w:eastAsia="Times New Roman" w:cs="宋体"/>
      <w:sz w:val="21"/>
      <w:szCs w:val="21"/>
      <w:lang w:val="en-US" w:eastAsia="zh-CN" w:bidi="ar-SA"/>
    </w:rPr>
  </w:style>
  <w:style w:type="paragraph" w:styleId="7">
    <w:name w:val="heading 6"/>
    <w:next w:val="1"/>
    <w:semiHidden/>
    <w:unhideWhenUsed/>
    <w:qFormat/>
    <w:uiPriority w:val="9"/>
    <w:pPr>
      <w:ind w:left="1600" w:hanging="400"/>
      <w:jc w:val="both"/>
      <w:outlineLvl w:val="5"/>
    </w:pPr>
    <w:rPr>
      <w:rFonts w:ascii="Calibri" w:hAnsi="Calibri" w:eastAsia="Times New Roman" w:cs="宋体"/>
      <w:b/>
      <w:sz w:val="21"/>
      <w:szCs w:val="21"/>
      <w:lang w:val="en-US" w:eastAsia="zh-CN" w:bidi="ar-SA"/>
    </w:rPr>
  </w:style>
  <w:style w:type="paragraph" w:styleId="8">
    <w:name w:val="heading 7"/>
    <w:next w:val="1"/>
    <w:qFormat/>
    <w:uiPriority w:val="13"/>
    <w:pPr>
      <w:ind w:left="1800" w:hanging="400"/>
      <w:jc w:val="both"/>
      <w:outlineLvl w:val="6"/>
    </w:pPr>
    <w:rPr>
      <w:rFonts w:ascii="Calibri" w:hAnsi="Calibri" w:eastAsia="Times New Roman" w:cs="宋体"/>
      <w:sz w:val="21"/>
      <w:szCs w:val="21"/>
      <w:lang w:val="en-US" w:eastAsia="zh-CN" w:bidi="ar-SA"/>
    </w:rPr>
  </w:style>
  <w:style w:type="paragraph" w:styleId="9">
    <w:name w:val="heading 8"/>
    <w:next w:val="1"/>
    <w:qFormat/>
    <w:uiPriority w:val="14"/>
    <w:pPr>
      <w:ind w:left="2000" w:hanging="400"/>
      <w:jc w:val="both"/>
      <w:outlineLvl w:val="7"/>
    </w:pPr>
    <w:rPr>
      <w:rFonts w:ascii="Calibri" w:hAnsi="Calibri" w:eastAsia="Times New Roman" w:cs="宋体"/>
      <w:sz w:val="21"/>
      <w:szCs w:val="21"/>
      <w:lang w:val="en-US" w:eastAsia="zh-CN" w:bidi="ar-SA"/>
    </w:rPr>
  </w:style>
  <w:style w:type="paragraph" w:styleId="10">
    <w:name w:val="heading 9"/>
    <w:next w:val="1"/>
    <w:qFormat/>
    <w:uiPriority w:val="15"/>
    <w:pPr>
      <w:ind w:left="2200" w:hanging="400"/>
      <w:jc w:val="both"/>
      <w:outlineLvl w:val="8"/>
    </w:pPr>
    <w:rPr>
      <w:rFonts w:ascii="Calibri" w:hAnsi="Calibri" w:eastAsia="Times New Roman" w:cs="宋体"/>
      <w:sz w:val="21"/>
      <w:szCs w:val="21"/>
      <w:lang w:val="en-US" w:eastAsia="zh-CN" w:bidi="ar-SA"/>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next w:val="1"/>
    <w:qFormat/>
    <w:uiPriority w:val="34"/>
    <w:pPr>
      <w:ind w:left="2550"/>
      <w:jc w:val="both"/>
    </w:pPr>
    <w:rPr>
      <w:rFonts w:ascii="Calibri" w:hAnsi="Calibri" w:eastAsia="Times New Roman" w:cs="宋体"/>
      <w:sz w:val="21"/>
      <w:szCs w:val="21"/>
      <w:lang w:val="en-US" w:eastAsia="zh-CN" w:bidi="ar-SA"/>
    </w:rPr>
  </w:style>
  <w:style w:type="paragraph" w:styleId="12">
    <w:name w:val="Body Text Indent"/>
    <w:basedOn w:val="1"/>
    <w:link w:val="50"/>
    <w:qFormat/>
    <w:uiPriority w:val="0"/>
    <w:pPr>
      <w:ind w:firstLine="566"/>
    </w:pPr>
    <w:rPr>
      <w:rFonts w:ascii="仿宋_GB2312" w:hAnsi="仿宋_GB2312" w:eastAsia="仿宋_GB2312"/>
      <w:sz w:val="28"/>
      <w:szCs w:val="28"/>
    </w:rPr>
  </w:style>
  <w:style w:type="paragraph" w:styleId="13">
    <w:name w:val="toc 5"/>
    <w:next w:val="1"/>
    <w:qFormat/>
    <w:uiPriority w:val="32"/>
    <w:pPr>
      <w:ind w:left="1700"/>
      <w:jc w:val="both"/>
    </w:pPr>
    <w:rPr>
      <w:rFonts w:ascii="Calibri" w:hAnsi="Calibri" w:eastAsia="Times New Roman" w:cs="宋体"/>
      <w:sz w:val="21"/>
      <w:szCs w:val="21"/>
      <w:lang w:val="en-US" w:eastAsia="zh-CN" w:bidi="ar-SA"/>
    </w:rPr>
  </w:style>
  <w:style w:type="paragraph" w:styleId="14">
    <w:name w:val="toc 3"/>
    <w:next w:val="1"/>
    <w:qFormat/>
    <w:uiPriority w:val="30"/>
    <w:pPr>
      <w:ind w:left="850"/>
      <w:jc w:val="both"/>
    </w:pPr>
    <w:rPr>
      <w:rFonts w:ascii="Calibri" w:hAnsi="Calibri" w:eastAsia="Times New Roman" w:cs="宋体"/>
      <w:sz w:val="21"/>
      <w:szCs w:val="21"/>
      <w:lang w:val="en-US" w:eastAsia="zh-CN" w:bidi="ar-SA"/>
    </w:rPr>
  </w:style>
  <w:style w:type="paragraph" w:styleId="15">
    <w:name w:val="toc 8"/>
    <w:next w:val="1"/>
    <w:qFormat/>
    <w:uiPriority w:val="35"/>
    <w:pPr>
      <w:ind w:left="2975"/>
      <w:jc w:val="both"/>
    </w:pPr>
    <w:rPr>
      <w:rFonts w:ascii="Calibri" w:hAnsi="Calibri" w:eastAsia="Times New Roman" w:cs="宋体"/>
      <w:sz w:val="21"/>
      <w:szCs w:val="21"/>
      <w:lang w:val="en-US" w:eastAsia="zh-CN" w:bidi="ar-SA"/>
    </w:rPr>
  </w:style>
  <w:style w:type="paragraph" w:styleId="16">
    <w:name w:val="Balloon Text"/>
    <w:basedOn w:val="1"/>
    <w:link w:val="54"/>
    <w:qFormat/>
    <w:uiPriority w:val="0"/>
    <w:rPr>
      <w:sz w:val="18"/>
      <w:szCs w:val="18"/>
    </w:rPr>
  </w:style>
  <w:style w:type="paragraph" w:styleId="17">
    <w:name w:val="footer"/>
    <w:basedOn w:val="1"/>
    <w:link w:val="52"/>
    <w:qFormat/>
    <w:uiPriority w:val="0"/>
    <w:pPr>
      <w:tabs>
        <w:tab w:val="center" w:pos="4153"/>
        <w:tab w:val="right" w:pos="8306"/>
      </w:tabs>
    </w:pPr>
    <w:rPr>
      <w:sz w:val="18"/>
      <w:szCs w:val="18"/>
    </w:rPr>
  </w:style>
  <w:style w:type="paragraph" w:styleId="18">
    <w:name w:val="header"/>
    <w:basedOn w:val="1"/>
    <w:link w:val="51"/>
    <w:qFormat/>
    <w:uiPriority w:val="0"/>
    <w:pPr>
      <w:tabs>
        <w:tab w:val="center" w:pos="4153"/>
        <w:tab w:val="right" w:pos="8306"/>
      </w:tabs>
      <w:jc w:val="center"/>
    </w:pPr>
    <w:rPr>
      <w:sz w:val="18"/>
      <w:szCs w:val="18"/>
    </w:rPr>
  </w:style>
  <w:style w:type="paragraph" w:styleId="19">
    <w:name w:val="toc 1"/>
    <w:next w:val="1"/>
    <w:qFormat/>
    <w:uiPriority w:val="28"/>
    <w:pPr>
      <w:jc w:val="both"/>
    </w:pPr>
    <w:rPr>
      <w:rFonts w:ascii="Calibri" w:hAnsi="Calibri" w:eastAsia="Times New Roman" w:cs="宋体"/>
      <w:sz w:val="21"/>
      <w:szCs w:val="21"/>
      <w:lang w:val="en-US" w:eastAsia="zh-CN" w:bidi="ar-SA"/>
    </w:rPr>
  </w:style>
  <w:style w:type="paragraph" w:styleId="20">
    <w:name w:val="toc 4"/>
    <w:next w:val="1"/>
    <w:qFormat/>
    <w:uiPriority w:val="31"/>
    <w:pPr>
      <w:ind w:left="1275"/>
      <w:jc w:val="both"/>
    </w:pPr>
    <w:rPr>
      <w:rFonts w:ascii="Calibri" w:hAnsi="Calibri" w:eastAsia="Times New Roman" w:cs="宋体"/>
      <w:sz w:val="21"/>
      <w:szCs w:val="21"/>
      <w:lang w:val="en-US" w:eastAsia="zh-CN" w:bidi="ar-SA"/>
    </w:rPr>
  </w:style>
  <w:style w:type="paragraph" w:styleId="21">
    <w:name w:val="Subtitle"/>
    <w:qFormat/>
    <w:uiPriority w:val="11"/>
    <w:pPr>
      <w:jc w:val="center"/>
    </w:pPr>
    <w:rPr>
      <w:rFonts w:ascii="Calibri" w:hAnsi="Calibri" w:eastAsia="Times New Roman" w:cs="宋体"/>
      <w:sz w:val="24"/>
      <w:szCs w:val="24"/>
      <w:lang w:val="en-US" w:eastAsia="zh-CN" w:bidi="ar-SA"/>
    </w:rPr>
  </w:style>
  <w:style w:type="paragraph" w:styleId="22">
    <w:name w:val="toc 6"/>
    <w:next w:val="1"/>
    <w:qFormat/>
    <w:uiPriority w:val="33"/>
    <w:pPr>
      <w:ind w:left="2125"/>
      <w:jc w:val="both"/>
    </w:pPr>
    <w:rPr>
      <w:rFonts w:ascii="Calibri" w:hAnsi="Calibri" w:eastAsia="Times New Roman" w:cs="宋体"/>
      <w:sz w:val="21"/>
      <w:szCs w:val="21"/>
      <w:lang w:val="en-US" w:eastAsia="zh-CN" w:bidi="ar-SA"/>
    </w:rPr>
  </w:style>
  <w:style w:type="paragraph" w:styleId="23">
    <w:name w:val="toc 2"/>
    <w:next w:val="1"/>
    <w:qFormat/>
    <w:uiPriority w:val="29"/>
    <w:pPr>
      <w:ind w:left="425"/>
      <w:jc w:val="both"/>
    </w:pPr>
    <w:rPr>
      <w:rFonts w:ascii="Calibri" w:hAnsi="Calibri" w:eastAsia="Times New Roman" w:cs="宋体"/>
      <w:sz w:val="21"/>
      <w:szCs w:val="21"/>
      <w:lang w:val="en-US" w:eastAsia="zh-CN" w:bidi="ar-SA"/>
    </w:rPr>
  </w:style>
  <w:style w:type="paragraph" w:styleId="24">
    <w:name w:val="toc 9"/>
    <w:next w:val="1"/>
    <w:qFormat/>
    <w:uiPriority w:val="36"/>
    <w:pPr>
      <w:ind w:left="3400"/>
      <w:jc w:val="both"/>
    </w:pPr>
    <w:rPr>
      <w:rFonts w:ascii="Calibri" w:hAnsi="Calibri" w:eastAsia="Times New Roman" w:cs="宋体"/>
      <w:sz w:val="21"/>
      <w:szCs w:val="21"/>
      <w:lang w:val="en-US" w:eastAsia="zh-CN" w:bidi="ar-SA"/>
    </w:rPr>
  </w:style>
  <w:style w:type="paragraph" w:styleId="25">
    <w:name w:val="Normal (Web)"/>
    <w:basedOn w:val="1"/>
    <w:qFormat/>
    <w:uiPriority w:val="0"/>
    <w:rPr>
      <w:rFonts w:ascii="宋体" w:hAnsi="宋体" w:eastAsia="宋体"/>
      <w:sz w:val="24"/>
      <w:szCs w:val="24"/>
    </w:rPr>
  </w:style>
  <w:style w:type="paragraph" w:styleId="26">
    <w:name w:val="Title"/>
    <w:qFormat/>
    <w:uiPriority w:val="10"/>
    <w:pPr>
      <w:jc w:val="center"/>
    </w:pPr>
    <w:rPr>
      <w:rFonts w:ascii="Calibri" w:hAnsi="Calibri" w:eastAsia="Times New Roman" w:cs="宋体"/>
      <w:b/>
      <w:sz w:val="32"/>
      <w:szCs w:val="32"/>
      <w:lang w:val="en-US" w:eastAsia="zh-CN" w:bidi="ar-SA"/>
    </w:rPr>
  </w:style>
  <w:style w:type="table" w:styleId="28">
    <w:name w:val="Table Grid"/>
    <w:basedOn w:val="27"/>
    <w:qFormat/>
    <w:uiPriority w:val="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20"/>
    <w:rPr>
      <w:b/>
      <w:w w:val="100"/>
      <w:sz w:val="21"/>
      <w:szCs w:val="21"/>
      <w:shd w:val="clear" w:color="000000" w:fill="auto"/>
    </w:rPr>
  </w:style>
  <w:style w:type="character" w:styleId="31">
    <w:name w:val="FollowedHyperlink"/>
    <w:basedOn w:val="29"/>
    <w:semiHidden/>
    <w:unhideWhenUsed/>
    <w:qFormat/>
    <w:uiPriority w:val="99"/>
    <w:rPr>
      <w:color w:val="800080"/>
      <w:u w:val="none"/>
    </w:rPr>
  </w:style>
  <w:style w:type="character" w:styleId="32">
    <w:name w:val="Emphasis"/>
    <w:basedOn w:val="29"/>
    <w:qFormat/>
    <w:uiPriority w:val="18"/>
    <w:rPr>
      <w:i/>
      <w:w w:val="100"/>
      <w:sz w:val="20"/>
      <w:szCs w:val="20"/>
      <w:shd w:val="clear" w:color="000000" w:fill="auto"/>
    </w:rPr>
  </w:style>
  <w:style w:type="character" w:styleId="33">
    <w:name w:val="Hyperlink"/>
    <w:basedOn w:val="29"/>
    <w:qFormat/>
    <w:uiPriority w:val="0"/>
    <w:rPr>
      <w:color w:val="0000FF"/>
      <w:w w:val="100"/>
      <w:sz w:val="20"/>
      <w:szCs w:val="20"/>
      <w:u w:val="single"/>
      <w:shd w:val="clear" w:color="000000" w:fill="auto"/>
    </w:rPr>
  </w:style>
  <w:style w:type="paragraph" w:styleId="34">
    <w:name w:val="No Spacing"/>
    <w:qFormat/>
    <w:uiPriority w:val="5"/>
    <w:pPr>
      <w:jc w:val="both"/>
    </w:pPr>
    <w:rPr>
      <w:rFonts w:ascii="Calibri" w:hAnsi="Calibri" w:eastAsia="Times New Roman" w:cs="宋体"/>
      <w:sz w:val="21"/>
      <w:szCs w:val="21"/>
      <w:lang w:val="en-US" w:eastAsia="zh-CN" w:bidi="ar-SA"/>
    </w:rPr>
  </w:style>
  <w:style w:type="character" w:customStyle="1" w:styleId="35">
    <w:name w:val="Subtle Emphasis_bfe7d616-14fc-47cf-8de0-c71616d3206f"/>
    <w:qFormat/>
    <w:uiPriority w:val="17"/>
    <w:rPr>
      <w:i/>
      <w:color w:val="404040"/>
      <w:w w:val="100"/>
      <w:sz w:val="21"/>
      <w:szCs w:val="21"/>
      <w:shd w:val="clear" w:color="auto" w:fill="auto"/>
    </w:rPr>
  </w:style>
  <w:style w:type="character" w:customStyle="1" w:styleId="36">
    <w:name w:val="Intense Emphasis_495fdc07-72ad-4760-9b97-9471ed1d3300"/>
    <w:qFormat/>
    <w:uiPriority w:val="19"/>
    <w:rPr>
      <w:i/>
      <w:color w:val="5B9BD5"/>
      <w:w w:val="100"/>
      <w:sz w:val="21"/>
      <w:szCs w:val="21"/>
      <w:shd w:val="clear" w:color="auto" w:fill="auto"/>
    </w:rPr>
  </w:style>
  <w:style w:type="paragraph" w:styleId="37">
    <w:name w:val="Quote"/>
    <w:qFormat/>
    <w:uiPriority w:val="21"/>
    <w:pPr>
      <w:ind w:left="864" w:right="864"/>
      <w:jc w:val="center"/>
    </w:pPr>
    <w:rPr>
      <w:rFonts w:ascii="Calibri" w:hAnsi="Calibri" w:eastAsia="Times New Roman" w:cs="宋体"/>
      <w:i/>
      <w:color w:val="404040"/>
      <w:sz w:val="21"/>
      <w:szCs w:val="21"/>
      <w:lang w:val="en-US" w:eastAsia="zh-CN" w:bidi="ar-SA"/>
    </w:rPr>
  </w:style>
  <w:style w:type="paragraph" w:styleId="38">
    <w:name w:val="Intense Quote"/>
    <w:qFormat/>
    <w:uiPriority w:val="22"/>
    <w:pPr>
      <w:ind w:left="950" w:right="950"/>
      <w:jc w:val="center"/>
    </w:pPr>
    <w:rPr>
      <w:rFonts w:ascii="Calibri" w:hAnsi="Calibri" w:eastAsia="Times New Roman" w:cs="宋体"/>
      <w:i/>
      <w:color w:val="5B9BD5"/>
      <w:sz w:val="21"/>
      <w:szCs w:val="21"/>
      <w:lang w:val="en-US" w:eastAsia="zh-CN" w:bidi="ar-SA"/>
    </w:rPr>
  </w:style>
  <w:style w:type="character" w:customStyle="1" w:styleId="39">
    <w:name w:val="Subtle Reference_a74d33af-01cc-4cd0-b704-f23cb7030bce"/>
    <w:qFormat/>
    <w:uiPriority w:val="23"/>
    <w:rPr>
      <w:smallCaps/>
      <w:color w:val="5A5A5A"/>
      <w:w w:val="100"/>
      <w:sz w:val="21"/>
      <w:szCs w:val="21"/>
      <w:shd w:val="clear" w:color="auto" w:fill="auto"/>
    </w:rPr>
  </w:style>
  <w:style w:type="character" w:customStyle="1" w:styleId="40">
    <w:name w:val="Intense Reference_80df2319-a8f3-4b9e-9d9f-05a1175e139d"/>
    <w:qFormat/>
    <w:uiPriority w:val="24"/>
    <w:rPr>
      <w:b/>
      <w:smallCaps/>
      <w:color w:val="5B9BD5"/>
      <w:w w:val="100"/>
      <w:sz w:val="21"/>
      <w:szCs w:val="21"/>
      <w:shd w:val="clear" w:color="auto" w:fill="auto"/>
    </w:rPr>
  </w:style>
  <w:style w:type="character" w:customStyle="1" w:styleId="41">
    <w:name w:val="Book Title_cbb02a73-81d4-4bfa-949e-90dc747f9355"/>
    <w:qFormat/>
    <w:uiPriority w:val="25"/>
    <w:rPr>
      <w:b/>
      <w:i/>
      <w:w w:val="100"/>
      <w:sz w:val="21"/>
      <w:szCs w:val="21"/>
      <w:shd w:val="clear" w:color="auto" w:fill="auto"/>
    </w:rPr>
  </w:style>
  <w:style w:type="paragraph" w:styleId="42">
    <w:name w:val="List Paragraph"/>
    <w:basedOn w:val="1"/>
    <w:qFormat/>
    <w:uiPriority w:val="26"/>
    <w:pPr>
      <w:ind w:firstLine="420"/>
    </w:pPr>
    <w:rPr>
      <w:rFonts w:ascii="PMingLiU" w:hAnsi="PMingLiU" w:eastAsia="PMingLiU"/>
      <w:sz w:val="20"/>
      <w:szCs w:val="20"/>
    </w:rPr>
  </w:style>
  <w:style w:type="paragraph" w:customStyle="1" w:styleId="43">
    <w:name w:val="TOC Heading_a7178152-b6e1-4976-abda-5a9c6ed5695d"/>
    <w:qFormat/>
    <w:uiPriority w:val="27"/>
    <w:rPr>
      <w:rFonts w:ascii="Calibri" w:hAnsi="Calibri" w:eastAsia="Times New Roman" w:cs="宋体"/>
      <w:color w:val="2E74B5"/>
      <w:sz w:val="32"/>
      <w:szCs w:val="32"/>
      <w:lang w:val="en-US" w:eastAsia="zh-CN" w:bidi="ar-SA"/>
    </w:rPr>
  </w:style>
  <w:style w:type="character" w:customStyle="1" w:styleId="44">
    <w:name w:val="不明显强调1"/>
    <w:qFormat/>
    <w:uiPriority w:val="0"/>
    <w:rPr>
      <w:i/>
      <w:color w:val="404040"/>
      <w:w w:val="100"/>
      <w:sz w:val="21"/>
      <w:szCs w:val="21"/>
      <w:shd w:val="clear" w:color="000000" w:fill="auto"/>
    </w:rPr>
  </w:style>
  <w:style w:type="character" w:customStyle="1" w:styleId="45">
    <w:name w:val="明显强调1"/>
    <w:qFormat/>
    <w:uiPriority w:val="0"/>
    <w:rPr>
      <w:i/>
      <w:color w:val="5B9BD5"/>
      <w:w w:val="100"/>
      <w:sz w:val="21"/>
      <w:szCs w:val="21"/>
      <w:shd w:val="clear" w:color="000000" w:fill="auto"/>
    </w:rPr>
  </w:style>
  <w:style w:type="character" w:customStyle="1" w:styleId="46">
    <w:name w:val="不明显参考1"/>
    <w:qFormat/>
    <w:uiPriority w:val="0"/>
    <w:rPr>
      <w:smallCaps/>
      <w:color w:val="5A5A5A"/>
      <w:w w:val="100"/>
      <w:sz w:val="21"/>
      <w:szCs w:val="21"/>
      <w:shd w:val="clear" w:color="000000" w:fill="auto"/>
    </w:rPr>
  </w:style>
  <w:style w:type="character" w:customStyle="1" w:styleId="47">
    <w:name w:val="明显参考1"/>
    <w:qFormat/>
    <w:uiPriority w:val="0"/>
    <w:rPr>
      <w:b/>
      <w:smallCaps/>
      <w:color w:val="5B9BD5"/>
      <w:w w:val="100"/>
      <w:sz w:val="21"/>
      <w:szCs w:val="21"/>
      <w:shd w:val="clear" w:color="000000" w:fill="auto"/>
    </w:rPr>
  </w:style>
  <w:style w:type="character" w:customStyle="1" w:styleId="48">
    <w:name w:val="书籍标题1"/>
    <w:qFormat/>
    <w:uiPriority w:val="0"/>
    <w:rPr>
      <w:b/>
      <w:i/>
      <w:w w:val="100"/>
      <w:sz w:val="21"/>
      <w:szCs w:val="21"/>
      <w:shd w:val="clear" w:color="000000" w:fill="auto"/>
    </w:rPr>
  </w:style>
  <w:style w:type="paragraph" w:customStyle="1" w:styleId="49">
    <w:name w:val="TOC 标题1"/>
    <w:qFormat/>
    <w:uiPriority w:val="0"/>
    <w:rPr>
      <w:rFonts w:ascii="Calibri" w:hAnsi="Calibri" w:eastAsia="Times New Roman" w:cs="宋体"/>
      <w:color w:val="2E74B5"/>
      <w:sz w:val="32"/>
      <w:szCs w:val="32"/>
      <w:lang w:val="en-US" w:eastAsia="zh-CN" w:bidi="ar-SA"/>
    </w:rPr>
  </w:style>
  <w:style w:type="character" w:customStyle="1" w:styleId="50">
    <w:name w:val="正文文本缩进 Char"/>
    <w:basedOn w:val="29"/>
    <w:link w:val="12"/>
    <w:qFormat/>
    <w:uiPriority w:val="0"/>
    <w:rPr>
      <w:rFonts w:ascii="仿宋_GB2312" w:hAnsi="仿宋_GB2312" w:eastAsia="Times New Roman"/>
      <w:w w:val="100"/>
      <w:sz w:val="28"/>
      <w:szCs w:val="28"/>
      <w:shd w:val="clear" w:color="000000" w:fill="auto"/>
    </w:rPr>
  </w:style>
  <w:style w:type="character" w:customStyle="1" w:styleId="51">
    <w:name w:val="页眉 Char"/>
    <w:basedOn w:val="29"/>
    <w:link w:val="18"/>
    <w:qFormat/>
    <w:uiPriority w:val="0"/>
    <w:rPr>
      <w:rFonts w:ascii="Times New Roman" w:hAnsi="Times New Roman" w:eastAsia="Times New Roman"/>
      <w:w w:val="100"/>
      <w:sz w:val="18"/>
      <w:szCs w:val="18"/>
      <w:shd w:val="clear" w:color="000000" w:fill="auto"/>
    </w:rPr>
  </w:style>
  <w:style w:type="character" w:customStyle="1" w:styleId="52">
    <w:name w:val="页脚 Char"/>
    <w:basedOn w:val="29"/>
    <w:link w:val="17"/>
    <w:qFormat/>
    <w:uiPriority w:val="0"/>
    <w:rPr>
      <w:rFonts w:ascii="Times New Roman" w:hAnsi="Times New Roman" w:eastAsia="Times New Roman"/>
      <w:w w:val="100"/>
      <w:sz w:val="18"/>
      <w:szCs w:val="18"/>
      <w:shd w:val="clear" w:color="000000" w:fill="auto"/>
    </w:rPr>
  </w:style>
  <w:style w:type="character" w:customStyle="1" w:styleId="53">
    <w:name w:val="标题 1 Char"/>
    <w:basedOn w:val="29"/>
    <w:link w:val="2"/>
    <w:qFormat/>
    <w:uiPriority w:val="0"/>
    <w:rPr>
      <w:b/>
      <w:w w:val="100"/>
      <w:sz w:val="44"/>
      <w:szCs w:val="44"/>
      <w:shd w:val="clear" w:color="000000" w:fill="auto"/>
    </w:rPr>
  </w:style>
  <w:style w:type="character" w:customStyle="1" w:styleId="54">
    <w:name w:val="批注框文本 Char"/>
    <w:basedOn w:val="29"/>
    <w:link w:val="16"/>
    <w:qFormat/>
    <w:uiPriority w:val="0"/>
    <w:rPr>
      <w:rFonts w:ascii="Times New Roman" w:hAnsi="Times New Roman" w:eastAsia="Times New Roman"/>
      <w:w w:val="100"/>
      <w:sz w:val="18"/>
      <w:szCs w:val="18"/>
      <w:shd w:val="clear" w:color="000000" w:fill="auto"/>
    </w:rPr>
  </w:style>
  <w:style w:type="paragraph" w:customStyle="1" w:styleId="55">
    <w:name w:val="msolistparagraph"/>
    <w:basedOn w:val="1"/>
    <w:qFormat/>
    <w:uiPriority w:val="0"/>
    <w:pPr>
      <w:widowControl w:val="0"/>
      <w:autoSpaceDE w:val="0"/>
      <w:autoSpaceDN w:val="0"/>
      <w:jc w:val="left"/>
    </w:pPr>
    <w:rPr>
      <w:rFonts w:hint="eastAsia" w:ascii="仿宋" w:hAnsi="仿宋" w:eastAsia="仿宋" w:cs="Times New Roman"/>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471BD-48D9-407D-BCF5-C50BD5FA8DD8}">
  <ds:schemaRefs/>
</ds:datastoreItem>
</file>

<file path=docProps/app.xml><?xml version="1.0" encoding="utf-8"?>
<Properties xmlns="http://schemas.openxmlformats.org/officeDocument/2006/extended-properties" xmlns:vt="http://schemas.openxmlformats.org/officeDocument/2006/docPropsVTypes">
  <Template>Normal</Template>
  <Pages>24</Pages>
  <Words>1451</Words>
  <Characters>8273</Characters>
  <Lines>68</Lines>
  <Paragraphs>19</Paragraphs>
  <TotalTime>52</TotalTime>
  <ScaleCrop>false</ScaleCrop>
  <LinksUpToDate>false</LinksUpToDate>
  <CharactersWithSpaces>9705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2021-04-11T22:35:00Z</dcterms:created>
  <dc:creator>Administrator</dc:creator>
  <cp:lastModifiedBy>LD</cp:lastModifiedBy>
  <cp:lastPrinted>2021-03-09T03:54:00Z</cp:lastPrinted>
  <dcterms:modified xsi:type="dcterms:W3CDTF">2021-05-14T02:50:54Z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8D1685D8D3384063B22B0EBB4DA51949</vt:lpwstr>
  </property>
</Properties>
</file>